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Arial" w:asciiTheme="minorEastAsia" w:hAnsiTheme="minorEastAsia" w:eastAsiaTheme="minorEastAsia"/>
          <w:sz w:val="44"/>
          <w:szCs w:val="44"/>
        </w:rPr>
      </w:pPr>
      <w:r>
        <w:rPr>
          <w:rFonts w:hint="eastAsia" w:cs="Arial" w:asciiTheme="minorEastAsia" w:hAnsiTheme="minorEastAsia" w:eastAsiaTheme="minorEastAsia"/>
          <w:sz w:val="44"/>
          <w:szCs w:val="44"/>
        </w:rPr>
        <w:t>2023年中国共产党长春市二道区委员会</w:t>
      </w:r>
    </w:p>
    <w:p>
      <w:pPr>
        <w:jc w:val="center"/>
        <w:rPr>
          <w:rFonts w:cs="Times New Roman" w:asciiTheme="minorEastAsia" w:hAnsiTheme="minorEastAsia" w:eastAsiaTheme="minorEastAsia"/>
          <w:sz w:val="44"/>
          <w:szCs w:val="44"/>
        </w:rPr>
      </w:pPr>
      <w:r>
        <w:rPr>
          <w:rFonts w:hint="eastAsia" w:cs="Arial" w:asciiTheme="minorEastAsia" w:hAnsiTheme="minorEastAsia" w:eastAsiaTheme="minorEastAsia"/>
          <w:sz w:val="44"/>
          <w:szCs w:val="44"/>
        </w:rPr>
        <w:t>办公室部门预算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hint="eastAsia" w:ascii="Arial" w:hAnsi="Arial" w:eastAsia="方正小标宋简体" w:cs="Times New Roman"/>
          <w:sz w:val="44"/>
          <w:szCs w:val="44"/>
          <w:lang w:val="en-US" w:eastAsia="zh-CN"/>
        </w:rPr>
      </w:pPr>
      <w:r>
        <w:rPr>
          <w:rFonts w:hint="eastAsia" w:ascii="Arial" w:hAnsi="Arial" w:eastAsia="方正小标宋简体" w:cs="Times New Roman"/>
          <w:sz w:val="44"/>
          <w:szCs w:val="44"/>
          <w:lang w:val="en-US" w:eastAsia="zh-CN"/>
        </w:rPr>
        <w:t xml:space="preserve"> </w:t>
      </w:r>
      <w:bookmarkStart w:id="2" w:name="_GoBack"/>
      <w:bookmarkEnd w:id="2"/>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cs="Arial" w:asciiTheme="minorEastAsia" w:hAnsiTheme="minorEastAsia" w:eastAsiaTheme="minorEastAsia"/>
          <w:sz w:val="32"/>
          <w:szCs w:val="32"/>
        </w:rPr>
      </w:pPr>
      <w:r>
        <w:rPr>
          <w:rFonts w:hint="eastAsia" w:cs="Arial" w:asciiTheme="minorEastAsia" w:hAnsiTheme="minorEastAsia" w:eastAsiaTheme="minorEastAsia"/>
          <w:sz w:val="32"/>
          <w:szCs w:val="32"/>
        </w:rPr>
        <w:t>二○二三年一月九日</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ind w:firstLine="3520" w:firstLineChars="800"/>
        <w:rPr>
          <w:rFonts w:ascii="Arial" w:hAnsi="Arial"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2023</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2023年度部门预算情况说明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一、2023年财政拨款收支情况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二、2023年一般公共预算支出情况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三、2023年一般公共预算基本支出情况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四、2023年一般公共预算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五、2023年政府性基金预算支出表情况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六、2023年部门收支总表情况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七、2023年部门收入总表情况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八、2023年部门支出总表情况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hint="eastAsia" w:ascii="宋体" w:hAnsi="宋体" w:cs="宋体"/>
          <w:sz w:val="44"/>
          <w:szCs w:val="44"/>
        </w:rPr>
        <w:t>2023年度中国共产党长春市二道区委员会办公室部门预算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承担区委文件、文稿的起草、修改和制发；负责区委各种会议事务工作和日常文书处理；开展相关督查指导；组织推进全区全面深化改革工作;组织、指导、检查、监督、协调区属机关、各街(镇)和开发区的档案工作；负责信息报送等工作。</w:t>
      </w:r>
    </w:p>
    <w:p>
      <w:pPr>
        <w:rPr>
          <w:rFonts w:ascii="宋体" w:hAnsi="宋体" w:cs="宋体"/>
          <w:color w:val="3E3E3E"/>
          <w:kern w:val="0"/>
          <w:sz w:val="32"/>
          <w:szCs w:val="32"/>
        </w:rPr>
      </w:pPr>
      <w:r>
        <w:rPr>
          <w:rFonts w:hint="eastAsia" w:ascii="宋体" w:hAnsi="宋体" w:cs="宋体"/>
          <w:b/>
          <w:bCs/>
          <w:color w:val="3E3E3E"/>
          <w:kern w:val="0"/>
          <w:sz w:val="32"/>
          <w:szCs w:val="32"/>
        </w:rPr>
        <w:t>二、内设机构</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（一）综合科</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负责撰写相关综合材料。</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（二）秘书科</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负责各种公务和公文处理工作。</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（三）督查室</w:t>
      </w:r>
    </w:p>
    <w:p>
      <w:pPr>
        <w:ind w:firstLine="640" w:firstLineChars="200"/>
        <w:rPr>
          <w:rFonts w:ascii="宋体" w:hAnsi="宋体" w:cs="宋体"/>
          <w:color w:val="3E3E3E"/>
          <w:kern w:val="0"/>
          <w:sz w:val="32"/>
          <w:szCs w:val="32"/>
        </w:rPr>
      </w:pPr>
      <w:bookmarkStart w:id="0" w:name="_Hlk82363787"/>
      <w:r>
        <w:rPr>
          <w:rFonts w:hint="eastAsia" w:ascii="宋体" w:hAnsi="宋体" w:cs="宋体"/>
          <w:color w:val="3E3E3E"/>
          <w:kern w:val="0"/>
          <w:sz w:val="32"/>
          <w:szCs w:val="32"/>
        </w:rPr>
        <w:t>负责相关督查指导。</w:t>
      </w:r>
    </w:p>
    <w:bookmarkEnd w:id="0"/>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 xml:space="preserve">（四）密码管理科 </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负责全区商密系统管理和维护等工作。</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 xml:space="preserve">（五）政策研究科 </w:t>
      </w:r>
    </w:p>
    <w:p>
      <w:pPr>
        <w:ind w:firstLine="640" w:firstLineChars="200"/>
        <w:rPr>
          <w:rFonts w:ascii="宋体" w:hAnsi="宋体" w:cs="宋体"/>
          <w:color w:val="3E3E3E"/>
          <w:kern w:val="0"/>
          <w:sz w:val="32"/>
          <w:szCs w:val="32"/>
        </w:rPr>
      </w:pPr>
      <w:bookmarkStart w:id="1" w:name="_Hlk82364070"/>
      <w:r>
        <w:rPr>
          <w:rFonts w:hint="eastAsia" w:ascii="宋体" w:hAnsi="宋体" w:cs="宋体"/>
          <w:color w:val="3E3E3E"/>
          <w:kern w:val="0"/>
          <w:sz w:val="32"/>
          <w:szCs w:val="32"/>
        </w:rPr>
        <w:t>完成推进全面深化改革等工作。</w:t>
      </w:r>
      <w:bookmarkEnd w:id="1"/>
      <w:r>
        <w:rPr>
          <w:rFonts w:hint="eastAsia" w:ascii="宋体" w:hAnsi="宋体" w:cs="宋体"/>
          <w:color w:val="3E3E3E"/>
          <w:kern w:val="0"/>
          <w:sz w:val="32"/>
          <w:szCs w:val="32"/>
        </w:rPr>
        <w:t xml:space="preserve"> </w:t>
      </w:r>
    </w:p>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楷体_GB2312" w:eastAsia="楷体_GB2312" w:cs="宋体"/>
          <w:b/>
          <w:color w:val="3E3E3E"/>
          <w:sz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ind w:firstLine="640" w:firstLineChars="200"/>
        <w:rPr>
          <w:rFonts w:ascii="宋体" w:hAnsi="宋体" w:cs="宋体"/>
          <w:color w:val="3E3E3E"/>
          <w:kern w:val="0"/>
          <w:sz w:val="32"/>
          <w:szCs w:val="32"/>
        </w:rPr>
      </w:pPr>
      <w:r>
        <w:rPr>
          <w:rFonts w:hint="eastAsia" w:ascii="宋体" w:hAnsi="宋体" w:cs="宋体"/>
          <w:color w:val="3E3E3E"/>
          <w:kern w:val="0"/>
          <w:sz w:val="32"/>
          <w:szCs w:val="32"/>
        </w:rPr>
        <w:t xml:space="preserve">中国共产党长春市二道区委员会办公室本级行政单位，共计1个预算单位。内设科室 5个，包括：综合科、秘书科、督查室、密码管理科、政策研究科。 </w:t>
      </w:r>
    </w:p>
    <w:p>
      <w:pPr>
        <w:spacing w:before="100" w:after="100" w:line="360" w:lineRule="auto"/>
        <w:jc w:val="left"/>
        <w:rPr>
          <w:rFonts w:ascii="楷体_GB2312" w:eastAsia="楷体_GB2312" w:cs="宋体"/>
          <w:b/>
          <w:color w:val="3E3E3E"/>
          <w:sz w:val="32"/>
        </w:rPr>
      </w:pPr>
      <w:r>
        <w:rPr>
          <w:rFonts w:hint="eastAsia" w:ascii="宋体" w:hAnsi="宋体" w:cs="宋体"/>
          <w:color w:val="3E3E3E"/>
          <w:sz w:val="32"/>
        </w:rPr>
        <w:t>　　</w:t>
      </w:r>
      <w:r>
        <w:rPr>
          <w:rFonts w:hint="eastAsia" w:ascii="宋体" w:hAnsi="宋体" w:cs="宋体"/>
          <w:b/>
          <w:bCs/>
          <w:color w:val="3E3E3E"/>
          <w:kern w:val="0"/>
          <w:sz w:val="32"/>
          <w:szCs w:val="32"/>
        </w:rPr>
        <w:t>(二)预算单位人员构成情况</w:t>
      </w:r>
    </w:p>
    <w:p>
      <w:pPr>
        <w:rPr>
          <w:rFonts w:ascii="宋体" w:hAnsi="宋体" w:cs="宋体"/>
          <w:color w:val="3E3E3E"/>
          <w:kern w:val="0"/>
          <w:sz w:val="32"/>
          <w:szCs w:val="32"/>
        </w:rPr>
      </w:pPr>
      <w:r>
        <w:rPr>
          <w:rFonts w:hint="eastAsia" w:ascii="宋体"/>
        </w:rPr>
        <w:t>　</w:t>
      </w:r>
      <w:r>
        <w:rPr>
          <w:rFonts w:hint="eastAsia" w:ascii="仿宋_GB2312" w:eastAsia="仿宋_GB2312"/>
          <w:sz w:val="32"/>
          <w:szCs w:val="32"/>
        </w:rPr>
        <w:t>　</w:t>
      </w:r>
      <w:r>
        <w:rPr>
          <w:rFonts w:hint="eastAsia" w:ascii="宋体" w:hAnsi="宋体" w:cs="宋体"/>
          <w:color w:val="3E3E3E"/>
          <w:kern w:val="0"/>
          <w:sz w:val="32"/>
          <w:szCs w:val="32"/>
        </w:rPr>
        <w:t>中国共产党长春市二道区委员会办公室本级行政单位现有人员</w:t>
      </w:r>
      <w:r>
        <w:rPr>
          <w:rFonts w:ascii="宋体" w:hAnsi="宋体" w:cs="宋体"/>
          <w:color w:val="3E3E3E"/>
          <w:kern w:val="0"/>
          <w:sz w:val="32"/>
          <w:szCs w:val="32"/>
        </w:rPr>
        <w:t>20</w:t>
      </w:r>
      <w:r>
        <w:rPr>
          <w:rFonts w:hint="eastAsia" w:ascii="宋体" w:hAnsi="宋体" w:cs="宋体"/>
          <w:color w:val="3E3E3E"/>
          <w:kern w:val="0"/>
          <w:sz w:val="32"/>
          <w:szCs w:val="32"/>
        </w:rPr>
        <w:t>人，其中，在职人员</w:t>
      </w:r>
      <w:r>
        <w:rPr>
          <w:rFonts w:ascii="宋体" w:hAnsi="宋体" w:cs="宋体"/>
          <w:color w:val="3E3E3E"/>
          <w:kern w:val="0"/>
          <w:sz w:val="32"/>
          <w:szCs w:val="32"/>
        </w:rPr>
        <w:t>17</w:t>
      </w:r>
      <w:r>
        <w:rPr>
          <w:rFonts w:hint="eastAsia" w:ascii="宋体" w:hAnsi="宋体" w:cs="宋体"/>
          <w:color w:val="3E3E3E"/>
          <w:kern w:val="0"/>
          <w:sz w:val="32"/>
          <w:szCs w:val="32"/>
        </w:rPr>
        <w:t>人员，退休人员3人。</w:t>
      </w: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2023年度部门预算表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附件：　</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w:t>
      </w:r>
      <w:r>
        <w:rPr>
          <w:rFonts w:hint="eastAsia" w:ascii="宋体" w:hAnsi="宋体" w:cs="宋体"/>
          <w:color w:val="3E3E3E"/>
          <w:kern w:val="0"/>
          <w:sz w:val="32"/>
          <w:szCs w:val="32"/>
        </w:rPr>
        <w:t>2023年财政拨款收支总表</w:t>
      </w:r>
      <w:r>
        <w:rPr>
          <w:rFonts w:hint="eastAsia" w:ascii="宋体" w:hAnsi="宋体" w:cs="宋体"/>
          <w:color w:val="3E3E3E"/>
          <w:kern w:val="0"/>
          <w:sz w:val="32"/>
          <w:szCs w:val="32"/>
        </w:rPr>
        <w:fldChar w:fldCharType="end"/>
      </w:r>
    </w:p>
    <w:tbl>
      <w:tblPr>
        <w:tblStyle w:val="6"/>
        <w:tblW w:w="8797" w:type="dxa"/>
        <w:tblInd w:w="-106" w:type="dxa"/>
        <w:tblLayout w:type="fixed"/>
        <w:tblCellMar>
          <w:top w:w="0" w:type="dxa"/>
          <w:left w:w="108" w:type="dxa"/>
          <w:bottom w:w="0" w:type="dxa"/>
          <w:right w:w="108" w:type="dxa"/>
        </w:tblCellMar>
      </w:tblPr>
      <w:tblGrid>
        <w:gridCol w:w="3299"/>
        <w:gridCol w:w="805"/>
        <w:gridCol w:w="2081"/>
        <w:gridCol w:w="1002"/>
        <w:gridCol w:w="805"/>
        <w:gridCol w:w="805"/>
      </w:tblGrid>
      <w:tr>
        <w:tblPrEx>
          <w:tblCellMar>
            <w:top w:w="0" w:type="dxa"/>
            <w:left w:w="108" w:type="dxa"/>
            <w:bottom w:w="0" w:type="dxa"/>
            <w:right w:w="108" w:type="dxa"/>
          </w:tblCellMar>
        </w:tblPrEx>
        <w:trPr>
          <w:trHeight w:val="255" w:hRule="atLeast"/>
        </w:trPr>
        <w:tc>
          <w:tcPr>
            <w:tcW w:w="3299" w:type="dxa"/>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1</w:t>
            </w: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2081" w:type="dxa"/>
            <w:tcBorders>
              <w:top w:val="nil"/>
              <w:left w:val="nil"/>
              <w:bottom w:val="nil"/>
              <w:right w:val="nil"/>
            </w:tcBorders>
            <w:vAlign w:val="bottom"/>
          </w:tcPr>
          <w:p>
            <w:pPr>
              <w:widowControl/>
              <w:jc w:val="left"/>
              <w:rPr>
                <w:rFonts w:ascii="宋体" w:cs="Times New Roman"/>
                <w:kern w:val="0"/>
                <w:sz w:val="20"/>
                <w:szCs w:val="20"/>
              </w:rPr>
            </w:pPr>
          </w:p>
        </w:tc>
        <w:tc>
          <w:tcPr>
            <w:tcW w:w="1002"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left"/>
              <w:rPr>
                <w:rFonts w:ascii="宋体" w:cs="Times New Roman"/>
                <w:kern w:val="0"/>
                <w:sz w:val="20"/>
                <w:szCs w:val="20"/>
              </w:rPr>
            </w:pPr>
          </w:p>
        </w:tc>
        <w:tc>
          <w:tcPr>
            <w:tcW w:w="805"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8797" w:type="dxa"/>
            <w:gridSpan w:val="6"/>
            <w:tcBorders>
              <w:top w:val="nil"/>
              <w:left w:val="nil"/>
              <w:bottom w:val="nil"/>
              <w:right w:val="nil"/>
            </w:tcBorders>
            <w:shd w:val="clear" w:color="000000" w:fill="FFFFFF"/>
            <w:vAlign w:val="center"/>
          </w:tcPr>
          <w:p>
            <w:pPr>
              <w:widowControl/>
              <w:jc w:val="center"/>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财政拨款收支总表</w:t>
            </w:r>
          </w:p>
        </w:tc>
      </w:tr>
      <w:tr>
        <w:tblPrEx>
          <w:tblCellMar>
            <w:top w:w="0" w:type="dxa"/>
            <w:left w:w="108" w:type="dxa"/>
            <w:bottom w:w="0" w:type="dxa"/>
            <w:right w:w="108" w:type="dxa"/>
          </w:tblCellMar>
        </w:tblPrEx>
        <w:trPr>
          <w:trHeight w:val="225" w:hRule="atLeast"/>
        </w:trPr>
        <w:tc>
          <w:tcPr>
            <w:tcW w:w="4104" w:type="dxa"/>
            <w:gridSpan w:val="2"/>
            <w:tcBorders>
              <w:top w:val="nil"/>
              <w:left w:val="nil"/>
              <w:bottom w:val="single" w:color="auto" w:sz="4" w:space="0"/>
              <w:right w:val="nil"/>
            </w:tcBorders>
            <w:vAlign w:val="bottom"/>
          </w:tcPr>
          <w:p>
            <w:pPr>
              <w:widowControl/>
              <w:jc w:val="center"/>
              <w:rPr>
                <w:rFonts w:ascii="宋体" w:cs="Times New Roman"/>
                <w:kern w:val="0"/>
                <w:sz w:val="16"/>
                <w:szCs w:val="16"/>
              </w:rPr>
            </w:pPr>
            <w:r>
              <w:rPr>
                <w:rFonts w:hint="eastAsia" w:ascii="宋体" w:hAnsi="宋体" w:cs="宋体"/>
                <w:kern w:val="0"/>
                <w:sz w:val="16"/>
                <w:szCs w:val="16"/>
              </w:rPr>
              <w:t>部门（单位）名称：中国共产党长春市二道区委员会办公室</w:t>
            </w:r>
          </w:p>
        </w:tc>
        <w:tc>
          <w:tcPr>
            <w:tcW w:w="2081"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002" w:type="dxa"/>
            <w:tcBorders>
              <w:top w:val="nil"/>
              <w:left w:val="nil"/>
              <w:bottom w:val="single" w:color="auto" w:sz="4" w:space="0"/>
              <w:right w:val="nil"/>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1610" w:type="dxa"/>
            <w:gridSpan w:val="2"/>
            <w:tcBorders>
              <w:top w:val="nil"/>
              <w:left w:val="nil"/>
              <w:bottom w:val="single" w:color="auto" w:sz="4" w:space="0"/>
              <w:right w:val="nil"/>
            </w:tcBorders>
            <w:shd w:val="clear" w:color="000000" w:fill="FFFFFF"/>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108" w:type="dxa"/>
            <w:bottom w:w="0" w:type="dxa"/>
            <w:right w:w="108" w:type="dxa"/>
          </w:tblCellMar>
        </w:tblPrEx>
        <w:trPr>
          <w:trHeight w:val="525" w:hRule="atLeast"/>
        </w:trPr>
        <w:tc>
          <w:tcPr>
            <w:tcW w:w="410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收</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入</w:t>
            </w:r>
          </w:p>
        </w:tc>
        <w:tc>
          <w:tcPr>
            <w:tcW w:w="4693"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支</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出</w:t>
            </w:r>
          </w:p>
        </w:tc>
      </w:tr>
      <w:tr>
        <w:tblPrEx>
          <w:tblCellMar>
            <w:top w:w="0" w:type="dxa"/>
            <w:left w:w="108" w:type="dxa"/>
            <w:bottom w:w="0" w:type="dxa"/>
            <w:right w:w="108" w:type="dxa"/>
          </w:tblCellMar>
        </w:tblPrEx>
        <w:trPr>
          <w:trHeight w:val="1276" w:hRule="atLeast"/>
        </w:trPr>
        <w:tc>
          <w:tcPr>
            <w:tcW w:w="329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预算金额</w:t>
            </w:r>
          </w:p>
        </w:tc>
        <w:tc>
          <w:tcPr>
            <w:tcW w:w="2081"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目（按功能分类）</w:t>
            </w:r>
          </w:p>
        </w:tc>
        <w:tc>
          <w:tcPr>
            <w:tcW w:w="1002"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合计</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一般公共预算财政拨款</w:t>
            </w:r>
          </w:p>
        </w:tc>
        <w:tc>
          <w:tcPr>
            <w:tcW w:w="805" w:type="dxa"/>
            <w:tcBorders>
              <w:top w:val="nil"/>
              <w:left w:val="nil"/>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16"/>
                <w:szCs w:val="16"/>
              </w:rPr>
            </w:pPr>
            <w:r>
              <w:rPr>
                <w:rFonts w:hint="eastAsia" w:ascii="宋体" w:hAnsi="宋体" w:cs="宋体"/>
                <w:b/>
                <w:bCs/>
                <w:color w:val="000000"/>
                <w:kern w:val="0"/>
                <w:sz w:val="16"/>
                <w:szCs w:val="16"/>
              </w:rPr>
              <w:t>政府性基金预算财政拨款</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一、财政拨款（补助）</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一、一般公共服务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cs="Times New Roman"/>
                <w:b/>
                <w:bCs/>
                <w:kern w:val="0"/>
                <w:sz w:val="16"/>
                <w:szCs w:val="16"/>
              </w:rPr>
              <w:t>458.51</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cs="Times New Roman"/>
                <w:b/>
                <w:bCs/>
                <w:kern w:val="0"/>
                <w:sz w:val="16"/>
                <w:szCs w:val="16"/>
              </w:rPr>
              <w:t>458.51</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经费拨款</w:t>
            </w:r>
            <w:r>
              <w:rPr>
                <w:rFonts w:ascii="宋体" w:hAnsi="宋体" w:cs="宋体"/>
                <w:kern w:val="0"/>
                <w:sz w:val="16"/>
                <w:szCs w:val="16"/>
              </w:rPr>
              <w:t>(</w:t>
            </w:r>
            <w:r>
              <w:rPr>
                <w:rFonts w:hint="eastAsia" w:ascii="宋体" w:hAnsi="宋体" w:cs="宋体"/>
                <w:kern w:val="0"/>
                <w:sz w:val="16"/>
                <w:szCs w:val="16"/>
              </w:rPr>
              <w:t>补助）</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二、住房保障支出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纳入预算管理的行政性收费安排的拨款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三、医疗卫生</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经费拨款</w:t>
            </w:r>
            <w:r>
              <w:rPr>
                <w:rFonts w:ascii="宋体" w:hAnsi="宋体" w:cs="宋体"/>
                <w:kern w:val="0"/>
                <w:sz w:val="16"/>
                <w:szCs w:val="16"/>
              </w:rPr>
              <w:t>(</w:t>
            </w:r>
            <w:r>
              <w:rPr>
                <w:rFonts w:hint="eastAsia" w:ascii="宋体" w:hAnsi="宋体" w:cs="宋体"/>
                <w:kern w:val="0"/>
                <w:sz w:val="16"/>
                <w:szCs w:val="16"/>
              </w:rPr>
              <w:t>办案费</w:t>
            </w:r>
            <w:r>
              <w:rPr>
                <w:rFonts w:ascii="宋体" w:hAnsi="宋体" w:cs="宋体"/>
                <w:kern w:val="0"/>
                <w:sz w:val="16"/>
                <w:szCs w:val="16"/>
              </w:rPr>
              <w:t>)</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四、环境保护</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国有资产有偿使用收入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五、社会保险基金支出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专项收入安排的拨款</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r>
              <w:rPr>
                <w:rFonts w:hint="eastAsia" w:ascii="宋体" w:hAnsi="宋体" w:cs="宋体"/>
                <w:b/>
                <w:bCs/>
                <w:kern w:val="0"/>
                <w:sz w:val="16"/>
                <w:szCs w:val="16"/>
              </w:rPr>
              <w:t>六、资源勘探电力信息等事务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r>
              <w:rPr>
                <w:rFonts w:ascii="宋体" w:hAnsi="宋体" w:cs="宋体"/>
                <w:b/>
                <w:bCs/>
                <w:kern w:val="0"/>
                <w:sz w:val="16"/>
                <w:szCs w:val="16"/>
              </w:rPr>
              <w:t xml:space="preserve">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城维费拨款收入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二、预算外资金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专户核拨的预算外资金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批准留用的预算外资金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三、事业收入（不含预算外）</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b/>
                <w:bCs/>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四、事业单位经营收入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五、纳入预算管理的政府性基金</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六、其他收入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0.00</w:t>
            </w:r>
            <w:r>
              <w:rPr>
                <w:rFonts w:ascii="宋体" w:hAnsi="宋体" w:cs="宋体"/>
                <w:kern w:val="0"/>
                <w:sz w:val="16"/>
                <w:szCs w:val="16"/>
              </w:rPr>
              <w:t xml:space="preserve">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七、上级补助收入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八、附属单位上缴收入</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九、用事业基金弥补收支差额</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本</w:t>
            </w:r>
            <w:r>
              <w:rPr>
                <w:rFonts w:ascii="宋体" w:hAnsi="宋体" w:cs="宋体"/>
                <w:b/>
                <w:bCs/>
                <w:kern w:val="0"/>
                <w:sz w:val="16"/>
                <w:szCs w:val="16"/>
              </w:rPr>
              <w:t xml:space="preserve"> </w:t>
            </w:r>
            <w:r>
              <w:rPr>
                <w:rFonts w:hint="eastAsia" w:ascii="宋体" w:hAnsi="宋体" w:cs="宋体"/>
                <w:b/>
                <w:bCs/>
                <w:kern w:val="0"/>
                <w:sz w:val="16"/>
                <w:szCs w:val="16"/>
              </w:rPr>
              <w:t>年</w:t>
            </w:r>
            <w:r>
              <w:rPr>
                <w:rFonts w:ascii="宋体" w:hAnsi="宋体" w:cs="宋体"/>
                <w:b/>
                <w:bCs/>
                <w:kern w:val="0"/>
                <w:sz w:val="16"/>
                <w:szCs w:val="16"/>
              </w:rPr>
              <w:t xml:space="preserve"> </w:t>
            </w:r>
            <w:r>
              <w:rPr>
                <w:rFonts w:hint="eastAsia" w:ascii="宋体" w:hAnsi="宋体" w:cs="宋体"/>
                <w:b/>
                <w:bCs/>
                <w:kern w:val="0"/>
                <w:sz w:val="16"/>
                <w:szCs w:val="16"/>
              </w:rPr>
              <w:t>收</w:t>
            </w:r>
            <w:r>
              <w:rPr>
                <w:rFonts w:ascii="宋体" w:hAnsi="宋体" w:cs="宋体"/>
                <w:b/>
                <w:bCs/>
                <w:kern w:val="0"/>
                <w:sz w:val="16"/>
                <w:szCs w:val="16"/>
              </w:rPr>
              <w:t xml:space="preserve"> </w:t>
            </w:r>
            <w:r>
              <w:rPr>
                <w:rFonts w:hint="eastAsia" w:ascii="宋体" w:hAnsi="宋体" w:cs="宋体"/>
                <w:b/>
                <w:bCs/>
                <w:kern w:val="0"/>
                <w:sz w:val="16"/>
                <w:szCs w:val="16"/>
              </w:rPr>
              <w:t>入</w:t>
            </w:r>
            <w:r>
              <w:rPr>
                <w:rFonts w:ascii="宋体" w:hAnsi="宋体" w:cs="宋体"/>
                <w:b/>
                <w:bCs/>
                <w:kern w:val="0"/>
                <w:sz w:val="16"/>
                <w:szCs w:val="16"/>
              </w:rPr>
              <w:t xml:space="preserve"> </w:t>
            </w:r>
            <w:r>
              <w:rPr>
                <w:rFonts w:hint="eastAsia" w:ascii="宋体" w:hAnsi="宋体" w:cs="宋体"/>
                <w:b/>
                <w:bCs/>
                <w:kern w:val="0"/>
                <w:sz w:val="16"/>
                <w:szCs w:val="16"/>
              </w:rPr>
              <w:t>合</w:t>
            </w:r>
            <w:r>
              <w:rPr>
                <w:rFonts w:ascii="宋体" w:hAnsi="宋体" w:cs="宋体"/>
                <w:b/>
                <w:bCs/>
                <w:kern w:val="0"/>
                <w:sz w:val="16"/>
                <w:szCs w:val="16"/>
              </w:rPr>
              <w:t xml:space="preserve"> </w:t>
            </w:r>
            <w:r>
              <w:rPr>
                <w:rFonts w:hint="eastAsia" w:ascii="宋体" w:hAnsi="宋体" w:cs="宋体"/>
                <w:b/>
                <w:bCs/>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本</w:t>
            </w:r>
            <w:r>
              <w:rPr>
                <w:rFonts w:ascii="宋体" w:hAnsi="宋体" w:cs="宋体"/>
                <w:b/>
                <w:bCs/>
                <w:kern w:val="0"/>
                <w:sz w:val="16"/>
                <w:szCs w:val="16"/>
              </w:rPr>
              <w:t xml:space="preserve"> </w:t>
            </w:r>
            <w:r>
              <w:rPr>
                <w:rFonts w:hint="eastAsia" w:ascii="宋体" w:hAnsi="宋体" w:cs="宋体"/>
                <w:b/>
                <w:bCs/>
                <w:kern w:val="0"/>
                <w:sz w:val="16"/>
                <w:szCs w:val="16"/>
              </w:rPr>
              <w:t>年</w:t>
            </w:r>
            <w:r>
              <w:rPr>
                <w:rFonts w:ascii="宋体" w:hAnsi="宋体" w:cs="宋体"/>
                <w:b/>
                <w:bCs/>
                <w:kern w:val="0"/>
                <w:sz w:val="16"/>
                <w:szCs w:val="16"/>
              </w:rPr>
              <w:t xml:space="preserve"> </w:t>
            </w:r>
            <w:r>
              <w:rPr>
                <w:rFonts w:hint="eastAsia" w:ascii="宋体" w:hAnsi="宋体" w:cs="宋体"/>
                <w:b/>
                <w:bCs/>
                <w:kern w:val="0"/>
                <w:sz w:val="16"/>
                <w:szCs w:val="16"/>
              </w:rPr>
              <w:t>支</w:t>
            </w:r>
            <w:r>
              <w:rPr>
                <w:rFonts w:ascii="宋体" w:hAnsi="宋体" w:cs="宋体"/>
                <w:b/>
                <w:bCs/>
                <w:kern w:val="0"/>
                <w:sz w:val="16"/>
                <w:szCs w:val="16"/>
              </w:rPr>
              <w:t xml:space="preserve"> </w:t>
            </w:r>
            <w:r>
              <w:rPr>
                <w:rFonts w:hint="eastAsia" w:ascii="宋体" w:hAnsi="宋体" w:cs="宋体"/>
                <w:b/>
                <w:bCs/>
                <w:kern w:val="0"/>
                <w:sz w:val="16"/>
                <w:szCs w:val="16"/>
              </w:rPr>
              <w:t>出</w:t>
            </w:r>
            <w:r>
              <w:rPr>
                <w:rFonts w:ascii="宋体" w:hAnsi="宋体" w:cs="宋体"/>
                <w:b/>
                <w:bCs/>
                <w:kern w:val="0"/>
                <w:sz w:val="16"/>
                <w:szCs w:val="16"/>
              </w:rPr>
              <w:t xml:space="preserve"> </w:t>
            </w:r>
            <w:r>
              <w:rPr>
                <w:rFonts w:hint="eastAsia" w:ascii="宋体" w:hAnsi="宋体" w:cs="宋体"/>
                <w:b/>
                <w:bCs/>
                <w:kern w:val="0"/>
                <w:sz w:val="16"/>
                <w:szCs w:val="16"/>
              </w:rPr>
              <w:t>合</w:t>
            </w:r>
            <w:r>
              <w:rPr>
                <w:rFonts w:ascii="宋体" w:hAnsi="宋体" w:cs="宋体"/>
                <w:b/>
                <w:bCs/>
                <w:kern w:val="0"/>
                <w:sz w:val="16"/>
                <w:szCs w:val="16"/>
              </w:rPr>
              <w:t xml:space="preserve"> </w:t>
            </w:r>
            <w:r>
              <w:rPr>
                <w:rFonts w:hint="eastAsia" w:ascii="宋体" w:hAnsi="宋体" w:cs="宋体"/>
                <w:b/>
                <w:bCs/>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十、上年结转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转移性支出</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财政拨款结转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结转下年</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财政拨款结余</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00FF"/>
                <w:kern w:val="0"/>
                <w:sz w:val="16"/>
                <w:szCs w:val="16"/>
              </w:rPr>
            </w:pPr>
            <w:r>
              <w:rPr>
                <w:rFonts w:hint="eastAsia" w:ascii="宋体" w:hAnsi="宋体" w:cs="宋体"/>
                <w:color w:val="0000FF"/>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ascii="宋体" w:hAnsi="宋体" w:cs="宋体"/>
                <w:kern w:val="0"/>
                <w:sz w:val="16"/>
                <w:szCs w:val="16"/>
              </w:rPr>
              <w:t xml:space="preserve">      </w:t>
            </w:r>
            <w:r>
              <w:rPr>
                <w:rFonts w:hint="eastAsia" w:ascii="宋体" w:hAnsi="宋体" w:cs="宋体"/>
                <w:kern w:val="0"/>
                <w:sz w:val="16"/>
                <w:szCs w:val="16"/>
              </w:rPr>
              <w:t>其他结转</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ascii="宋体" w:hAnsi="宋体" w:cs="宋体"/>
                <w:kern w:val="0"/>
                <w:sz w:val="16"/>
                <w:szCs w:val="16"/>
              </w:rPr>
              <w:t xml:space="preserve">0.00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hint="eastAsia" w:ascii="宋体" w:hAnsi="宋体" w:cs="宋体"/>
                <w:color w:val="008000"/>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2081"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25" w:hRule="atLeast"/>
        </w:trPr>
        <w:tc>
          <w:tcPr>
            <w:tcW w:w="3299" w:type="dxa"/>
            <w:tcBorders>
              <w:top w:val="nil"/>
              <w:left w:val="single" w:color="auto" w:sz="4" w:space="0"/>
              <w:bottom w:val="single" w:color="auto" w:sz="4" w:space="0"/>
              <w:right w:val="single" w:color="auto" w:sz="4" w:space="0"/>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收</w:t>
            </w:r>
            <w:r>
              <w:rPr>
                <w:rFonts w:ascii="宋体" w:hAnsi="宋体" w:cs="宋体"/>
                <w:b/>
                <w:bCs/>
                <w:kern w:val="0"/>
                <w:sz w:val="16"/>
                <w:szCs w:val="16"/>
              </w:rPr>
              <w:t xml:space="preserve">    </w:t>
            </w:r>
            <w:r>
              <w:rPr>
                <w:rFonts w:hint="eastAsia" w:ascii="宋体" w:hAnsi="宋体" w:cs="宋体"/>
                <w:b/>
                <w:bCs/>
                <w:kern w:val="0"/>
                <w:sz w:val="16"/>
                <w:szCs w:val="16"/>
              </w:rPr>
              <w:t>入</w:t>
            </w:r>
            <w:r>
              <w:rPr>
                <w:rFonts w:ascii="宋体" w:hAnsi="宋体" w:cs="宋体"/>
                <w:b/>
                <w:bCs/>
                <w:kern w:val="0"/>
                <w:sz w:val="16"/>
                <w:szCs w:val="16"/>
              </w:rPr>
              <w:t xml:space="preserve">    </w:t>
            </w:r>
            <w:r>
              <w:rPr>
                <w:rFonts w:hint="eastAsia" w:ascii="宋体" w:hAnsi="宋体" w:cs="宋体"/>
                <w:b/>
                <w:bCs/>
                <w:kern w:val="0"/>
                <w:sz w:val="16"/>
                <w:szCs w:val="16"/>
              </w:rPr>
              <w:t>总</w:t>
            </w:r>
            <w:r>
              <w:rPr>
                <w:rFonts w:ascii="宋体" w:hAnsi="宋体" w:cs="宋体"/>
                <w:b/>
                <w:bCs/>
                <w:kern w:val="0"/>
                <w:sz w:val="16"/>
                <w:szCs w:val="16"/>
              </w:rPr>
              <w:t xml:space="preserve">    </w:t>
            </w:r>
            <w:r>
              <w:rPr>
                <w:rFonts w:hint="eastAsia" w:ascii="宋体" w:hAnsi="宋体" w:cs="宋体"/>
                <w:b/>
                <w:bCs/>
                <w:kern w:val="0"/>
                <w:sz w:val="16"/>
                <w:szCs w:val="16"/>
              </w:rPr>
              <w:t>计</w:t>
            </w: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2081" w:type="dxa"/>
            <w:tcBorders>
              <w:top w:val="nil"/>
              <w:left w:val="nil"/>
              <w:bottom w:val="single" w:color="auto" w:sz="4" w:space="0"/>
              <w:right w:val="single" w:color="auto" w:sz="4" w:space="0"/>
            </w:tcBorders>
            <w:vAlign w:val="bottom"/>
          </w:tcPr>
          <w:p>
            <w:pPr>
              <w:widowControl/>
              <w:jc w:val="center"/>
              <w:rPr>
                <w:rFonts w:ascii="宋体" w:cs="Times New Roman"/>
                <w:b/>
                <w:bCs/>
                <w:kern w:val="0"/>
                <w:sz w:val="16"/>
                <w:szCs w:val="16"/>
              </w:rPr>
            </w:pPr>
            <w:r>
              <w:rPr>
                <w:rFonts w:hint="eastAsia" w:ascii="宋体" w:hAnsi="宋体" w:cs="宋体"/>
                <w:b/>
                <w:bCs/>
                <w:kern w:val="0"/>
                <w:sz w:val="16"/>
                <w:szCs w:val="16"/>
              </w:rPr>
              <w:t>支</w:t>
            </w:r>
            <w:r>
              <w:rPr>
                <w:rFonts w:ascii="宋体" w:hAnsi="宋体" w:cs="宋体"/>
                <w:b/>
                <w:bCs/>
                <w:kern w:val="0"/>
                <w:sz w:val="16"/>
                <w:szCs w:val="16"/>
              </w:rPr>
              <w:t xml:space="preserve">    </w:t>
            </w:r>
            <w:r>
              <w:rPr>
                <w:rFonts w:hint="eastAsia" w:ascii="宋体" w:hAnsi="宋体" w:cs="宋体"/>
                <w:b/>
                <w:bCs/>
                <w:kern w:val="0"/>
                <w:sz w:val="16"/>
                <w:szCs w:val="16"/>
              </w:rPr>
              <w:t>出</w:t>
            </w:r>
            <w:r>
              <w:rPr>
                <w:rFonts w:ascii="宋体" w:hAnsi="宋体" w:cs="宋体"/>
                <w:b/>
                <w:bCs/>
                <w:kern w:val="0"/>
                <w:sz w:val="16"/>
                <w:szCs w:val="16"/>
              </w:rPr>
              <w:t xml:space="preserve">    </w:t>
            </w:r>
            <w:r>
              <w:rPr>
                <w:rFonts w:hint="eastAsia" w:ascii="宋体" w:hAnsi="宋体" w:cs="宋体"/>
                <w:b/>
                <w:bCs/>
                <w:kern w:val="0"/>
                <w:sz w:val="16"/>
                <w:szCs w:val="16"/>
              </w:rPr>
              <w:t>总</w:t>
            </w:r>
            <w:r>
              <w:rPr>
                <w:rFonts w:ascii="宋体" w:hAnsi="宋体" w:cs="宋体"/>
                <w:b/>
                <w:bCs/>
                <w:kern w:val="0"/>
                <w:sz w:val="16"/>
                <w:szCs w:val="16"/>
              </w:rPr>
              <w:t xml:space="preserve">    </w:t>
            </w:r>
            <w:r>
              <w:rPr>
                <w:rFonts w:hint="eastAsia" w:ascii="宋体" w:hAnsi="宋体" w:cs="宋体"/>
                <w:b/>
                <w:bCs/>
                <w:kern w:val="0"/>
                <w:sz w:val="16"/>
                <w:szCs w:val="16"/>
              </w:rPr>
              <w:t>计</w:t>
            </w:r>
          </w:p>
        </w:tc>
        <w:tc>
          <w:tcPr>
            <w:tcW w:w="1002" w:type="dxa"/>
            <w:tcBorders>
              <w:top w:val="nil"/>
              <w:left w:val="nil"/>
              <w:bottom w:val="single" w:color="auto" w:sz="4" w:space="0"/>
              <w:right w:val="single" w:color="auto" w:sz="4" w:space="0"/>
            </w:tcBorders>
            <w:vAlign w:val="bottom"/>
          </w:tcPr>
          <w:p>
            <w:pPr>
              <w:widowControl/>
              <w:jc w:val="right"/>
              <w:rPr>
                <w:rFonts w:ascii="宋体" w:cs="Times New Roman"/>
                <w:kern w:val="0"/>
                <w:sz w:val="16"/>
                <w:szCs w:val="16"/>
              </w:rPr>
            </w:pPr>
            <w:r>
              <w:rPr>
                <w:rFonts w:hint="eastAsia" w:ascii="宋体" w:hAnsi="宋体" w:cs="宋体"/>
                <w:kern w:val="0"/>
                <w:sz w:val="16"/>
                <w:szCs w:val="16"/>
              </w:rPr>
              <w:t>458.51</w:t>
            </w:r>
          </w:p>
        </w:tc>
        <w:tc>
          <w:tcPr>
            <w:tcW w:w="805" w:type="dxa"/>
            <w:tcBorders>
              <w:top w:val="nil"/>
              <w:left w:val="nil"/>
              <w:bottom w:val="single" w:color="auto" w:sz="4" w:space="0"/>
              <w:right w:val="single" w:color="auto" w:sz="4" w:space="0"/>
            </w:tcBorders>
            <w:vAlign w:val="bottom"/>
          </w:tcPr>
          <w:p>
            <w:pPr>
              <w:widowControl/>
              <w:jc w:val="center"/>
              <w:rPr>
                <w:rFonts w:ascii="宋体" w:cs="Times New Roman"/>
                <w:b/>
                <w:bCs/>
                <w:kern w:val="0"/>
                <w:sz w:val="16"/>
                <w:szCs w:val="16"/>
              </w:rPr>
            </w:pPr>
          </w:p>
        </w:tc>
        <w:tc>
          <w:tcPr>
            <w:tcW w:w="805" w:type="dxa"/>
            <w:tcBorders>
              <w:top w:val="nil"/>
              <w:left w:val="nil"/>
              <w:bottom w:val="single" w:color="auto" w:sz="4" w:space="0"/>
              <w:right w:val="single" w:color="auto" w:sz="4" w:space="0"/>
            </w:tcBorders>
            <w:vAlign w:val="bottom"/>
          </w:tcPr>
          <w:p>
            <w:pPr>
              <w:widowControl/>
              <w:jc w:val="right"/>
              <w:rPr>
                <w:rFonts w:ascii="宋体" w:cs="Times New Roman"/>
                <w:color w:val="008000"/>
                <w:kern w:val="0"/>
                <w:sz w:val="16"/>
                <w:szCs w:val="16"/>
              </w:rPr>
            </w:pPr>
            <w:r>
              <w:rPr>
                <w:rFonts w:ascii="宋体" w:hAnsi="宋体" w:cs="宋体"/>
                <w:color w:val="008000"/>
                <w:kern w:val="0"/>
                <w:sz w:val="16"/>
                <w:szCs w:val="16"/>
              </w:rPr>
              <w:t xml:space="preserve"> </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w:t>
      </w:r>
      <w:r>
        <w:rPr>
          <w:rFonts w:hint="eastAsia" w:ascii="宋体" w:hAnsi="宋体" w:cs="宋体"/>
          <w:color w:val="3E3E3E"/>
          <w:kern w:val="0"/>
          <w:sz w:val="32"/>
          <w:szCs w:val="32"/>
        </w:rPr>
        <w:t>2023年一般公共预算预算支出表</w:t>
      </w:r>
      <w:r>
        <w:rPr>
          <w:rFonts w:hint="eastAsia" w:ascii="宋体" w:hAnsi="宋体" w:cs="宋体"/>
          <w:color w:val="3E3E3E"/>
          <w:kern w:val="0"/>
          <w:sz w:val="32"/>
          <w:szCs w:val="32"/>
        </w:rPr>
        <w:fldChar w:fldCharType="end"/>
      </w:r>
    </w:p>
    <w:tbl>
      <w:tblPr>
        <w:tblStyle w:val="6"/>
        <w:tblW w:w="8684" w:type="dxa"/>
        <w:tblInd w:w="-106" w:type="dxa"/>
        <w:tblLayout w:type="fixed"/>
        <w:tblCellMar>
          <w:top w:w="0" w:type="dxa"/>
          <w:left w:w="108" w:type="dxa"/>
          <w:bottom w:w="0" w:type="dxa"/>
          <w:right w:w="108" w:type="dxa"/>
        </w:tblCellMar>
      </w:tblPr>
      <w:tblGrid>
        <w:gridCol w:w="7045"/>
        <w:gridCol w:w="1639"/>
      </w:tblGrid>
      <w:tr>
        <w:tblPrEx>
          <w:tblCellMar>
            <w:top w:w="0" w:type="dxa"/>
            <w:left w:w="108" w:type="dxa"/>
            <w:bottom w:w="0" w:type="dxa"/>
            <w:right w:w="108" w:type="dxa"/>
          </w:tblCellMar>
        </w:tblPrEx>
        <w:trPr>
          <w:trHeight w:val="255" w:hRule="atLeast"/>
        </w:trPr>
        <w:tc>
          <w:tcPr>
            <w:tcW w:w="8684" w:type="dxa"/>
            <w:gridSpan w:val="2"/>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部门预算公开表</w:t>
            </w:r>
            <w:r>
              <w:rPr>
                <w:rFonts w:ascii="Arial" w:hAnsi="Arial" w:cs="Arial"/>
                <w:color w:val="000000"/>
                <w:kern w:val="0"/>
                <w:sz w:val="20"/>
                <w:szCs w:val="20"/>
              </w:rPr>
              <w:t>2</w:t>
            </w:r>
          </w:p>
        </w:tc>
      </w:tr>
      <w:tr>
        <w:tblPrEx>
          <w:tblCellMar>
            <w:top w:w="0" w:type="dxa"/>
            <w:left w:w="108" w:type="dxa"/>
            <w:bottom w:w="0" w:type="dxa"/>
            <w:right w:w="108" w:type="dxa"/>
          </w:tblCellMar>
        </w:tblPrEx>
        <w:trPr>
          <w:trHeight w:val="354" w:hRule="atLeast"/>
        </w:trPr>
        <w:tc>
          <w:tcPr>
            <w:tcW w:w="8684" w:type="dxa"/>
            <w:gridSpan w:val="2"/>
            <w:tcBorders>
              <w:top w:val="nil"/>
              <w:left w:val="nil"/>
              <w:bottom w:val="nil"/>
              <w:right w:val="nil"/>
            </w:tcBorders>
            <w:vAlign w:val="bottom"/>
          </w:tcPr>
          <w:p>
            <w:pPr>
              <w:widowControl/>
              <w:jc w:val="center"/>
              <w:rPr>
                <w:rFonts w:ascii="宋体" w:cs="Times New Roman"/>
                <w:b/>
                <w:bCs/>
                <w:kern w:val="0"/>
                <w:sz w:val="24"/>
                <w:szCs w:val="24"/>
              </w:rPr>
            </w:pPr>
            <w:r>
              <w:rPr>
                <w:rFonts w:hint="eastAsia" w:ascii="宋体" w:hAnsi="宋体" w:cs="宋体"/>
                <w:b/>
                <w:bCs/>
                <w:kern w:val="0"/>
                <w:sz w:val="24"/>
                <w:szCs w:val="24"/>
              </w:rPr>
              <w:t>一般公共预算支出表</w:t>
            </w:r>
          </w:p>
        </w:tc>
      </w:tr>
      <w:tr>
        <w:tblPrEx>
          <w:tblCellMar>
            <w:top w:w="0" w:type="dxa"/>
            <w:left w:w="108" w:type="dxa"/>
            <w:bottom w:w="0" w:type="dxa"/>
            <w:right w:w="108" w:type="dxa"/>
          </w:tblCellMar>
        </w:tblPrEx>
        <w:trPr>
          <w:trHeight w:val="255" w:hRule="atLeast"/>
        </w:trPr>
        <w:tc>
          <w:tcPr>
            <w:tcW w:w="8684" w:type="dxa"/>
            <w:gridSpan w:val="2"/>
            <w:tcBorders>
              <w:top w:val="nil"/>
              <w:left w:val="nil"/>
              <w:bottom w:val="single" w:color="auto" w:sz="4" w:space="0"/>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0"/>
                <w:szCs w:val="20"/>
              </w:rPr>
              <w:t>部门（单位）名称：</w:t>
            </w:r>
            <w:r>
              <w:rPr>
                <w:rFonts w:hint="eastAsia" w:ascii="宋体" w:hAnsi="宋体" w:cs="宋体"/>
                <w:kern w:val="0"/>
                <w:sz w:val="16"/>
                <w:szCs w:val="16"/>
              </w:rPr>
              <w:t>中国共产党长春市二道区委员会办公室</w:t>
            </w:r>
            <w:r>
              <w:rPr>
                <w:rFonts w:ascii="Arial" w:hAnsi="Arial" w:cs="Arial"/>
                <w:color w:val="000000"/>
                <w:kern w:val="0"/>
                <w:sz w:val="20"/>
                <w:szCs w:val="20"/>
              </w:rPr>
              <w:t xml:space="preserve">                       </w:t>
            </w:r>
            <w:r>
              <w:rPr>
                <w:rFonts w:hint="eastAsia" w:ascii="Arial" w:hAnsi="Arial" w:cs="宋体"/>
                <w:color w:val="000000"/>
                <w:kern w:val="0"/>
                <w:sz w:val="20"/>
                <w:szCs w:val="20"/>
              </w:rPr>
              <w:t>单位：万元</w:t>
            </w:r>
            <w:r>
              <w:rPr>
                <w:rFonts w:ascii="Arial" w:hAnsi="Arial" w:cs="Arial"/>
                <w:color w:val="000000"/>
                <w:kern w:val="0"/>
                <w:sz w:val="20"/>
                <w:szCs w:val="20"/>
              </w:rPr>
              <w:t xml:space="preserve">                                                         </w:t>
            </w:r>
          </w:p>
        </w:tc>
      </w:tr>
      <w:tr>
        <w:tblPrEx>
          <w:tblCellMar>
            <w:top w:w="0" w:type="dxa"/>
            <w:left w:w="108" w:type="dxa"/>
            <w:bottom w:w="0" w:type="dxa"/>
            <w:right w:w="108" w:type="dxa"/>
          </w:tblCellMar>
        </w:tblPrEx>
        <w:trPr>
          <w:trHeight w:val="624" w:hRule="atLeast"/>
        </w:trPr>
        <w:tc>
          <w:tcPr>
            <w:tcW w:w="7045" w:type="dxa"/>
            <w:vMerge w:val="restart"/>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8"/>
                <w:szCs w:val="28"/>
              </w:rPr>
            </w:pPr>
            <w:r>
              <w:rPr>
                <w:rFonts w:hint="eastAsia" w:ascii="宋体" w:hAnsi="宋体" w:cs="宋体"/>
                <w:b/>
                <w:bCs/>
                <w:color w:val="000000"/>
                <w:kern w:val="0"/>
                <w:sz w:val="28"/>
                <w:szCs w:val="28"/>
              </w:rPr>
              <w:t>功能分类科目（类款项）</w:t>
            </w:r>
          </w:p>
        </w:tc>
        <w:tc>
          <w:tcPr>
            <w:tcW w:w="163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预算数</w:t>
            </w:r>
          </w:p>
        </w:tc>
      </w:tr>
      <w:tr>
        <w:tblPrEx>
          <w:tblCellMar>
            <w:top w:w="0" w:type="dxa"/>
            <w:left w:w="108" w:type="dxa"/>
            <w:bottom w:w="0" w:type="dxa"/>
            <w:right w:w="108" w:type="dxa"/>
          </w:tblCellMar>
        </w:tblPrEx>
        <w:trPr>
          <w:trHeight w:val="624" w:hRule="atLeast"/>
        </w:trPr>
        <w:tc>
          <w:tcPr>
            <w:tcW w:w="7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8"/>
                <w:szCs w:val="28"/>
              </w:rPr>
            </w:pPr>
          </w:p>
        </w:tc>
        <w:tc>
          <w:tcPr>
            <w:tcW w:w="16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4"/>
                <w:szCs w:val="24"/>
              </w:rPr>
            </w:pP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一、一般公共服务支出（</w:t>
            </w:r>
            <w:r>
              <w:rPr>
                <w:rFonts w:ascii="宋体" w:hAnsi="宋体" w:cs="宋体"/>
                <w:b/>
                <w:bCs/>
                <w:color w:val="000000"/>
                <w:kern w:val="0"/>
                <w:sz w:val="20"/>
                <w:szCs w:val="20"/>
              </w:rPr>
              <w:t>201</w:t>
            </w:r>
            <w:r>
              <w:rPr>
                <w:rFonts w:hint="eastAsia" w:ascii="宋体" w:hAnsi="宋体" w:cs="宋体"/>
                <w:b/>
                <w:bCs/>
                <w:color w:val="000000"/>
                <w:kern w:val="0"/>
                <w:sz w:val="20"/>
                <w:szCs w:val="20"/>
              </w:rPr>
              <w:t>）</w:t>
            </w:r>
          </w:p>
        </w:tc>
        <w:tc>
          <w:tcPr>
            <w:tcW w:w="1639" w:type="dxa"/>
            <w:tcBorders>
              <w:top w:val="nil"/>
              <w:left w:val="nil"/>
              <w:bottom w:val="single" w:color="auto" w:sz="4" w:space="0"/>
              <w:right w:val="single" w:color="auto" w:sz="4" w:space="0"/>
            </w:tcBorders>
            <w:vAlign w:val="bottom"/>
          </w:tcPr>
          <w:p>
            <w:pPr>
              <w:widowControl/>
              <w:jc w:val="right"/>
              <w:rPr>
                <w:rFonts w:ascii="宋体" w:cs="Times New Roman"/>
                <w:bCs/>
                <w:kern w:val="0"/>
                <w:sz w:val="22"/>
                <w:szCs w:val="22"/>
              </w:rPr>
            </w:pPr>
            <w:r>
              <w:rPr>
                <w:rFonts w:hint="eastAsia" w:ascii="宋体" w:hAnsi="宋体" w:cs="宋体"/>
                <w:bCs/>
                <w:kern w:val="0"/>
                <w:sz w:val="22"/>
                <w:szCs w:val="22"/>
              </w:rPr>
              <w:t>458.51</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行政运行（</w:t>
            </w:r>
            <w:r>
              <w:rPr>
                <w:rFonts w:ascii="宋体" w:hAnsi="宋体" w:cs="宋体"/>
                <w:color w:val="000000"/>
                <w:kern w:val="0"/>
                <w:sz w:val="20"/>
                <w:szCs w:val="20"/>
              </w:rPr>
              <w:t>201</w:t>
            </w:r>
            <w:r>
              <w:rPr>
                <w:rFonts w:hint="eastAsia" w:ascii="宋体" w:hAnsi="宋体" w:cs="宋体"/>
                <w:color w:val="000000"/>
                <w:kern w:val="0"/>
                <w:sz w:val="20"/>
                <w:szCs w:val="20"/>
              </w:rPr>
              <w:t>0101）</w:t>
            </w:r>
          </w:p>
        </w:tc>
        <w:tc>
          <w:tcPr>
            <w:tcW w:w="1639" w:type="dxa"/>
            <w:tcBorders>
              <w:top w:val="nil"/>
              <w:left w:val="nil"/>
              <w:bottom w:val="single" w:color="auto" w:sz="4" w:space="0"/>
              <w:right w:val="single" w:color="auto" w:sz="4" w:space="0"/>
            </w:tcBorders>
            <w:vAlign w:val="bottom"/>
          </w:tcPr>
          <w:p>
            <w:pPr>
              <w:widowControl/>
              <w:jc w:val="right"/>
              <w:rPr>
                <w:rFonts w:ascii="宋体" w:cs="Times New Roman"/>
                <w:kern w:val="0"/>
                <w:sz w:val="22"/>
                <w:szCs w:val="22"/>
              </w:rPr>
            </w:pPr>
            <w:r>
              <w:rPr>
                <w:rFonts w:hint="eastAsia" w:ascii="宋体" w:hAnsi="宋体" w:cs="宋体"/>
                <w:kern w:val="0"/>
                <w:sz w:val="22"/>
                <w:szCs w:val="22"/>
              </w:rPr>
              <w:t>322.77</w:t>
            </w:r>
            <w:r>
              <w:rPr>
                <w:rFonts w:ascii="宋体" w:hAnsi="宋体" w:cs="宋体"/>
                <w:kern w:val="0"/>
                <w:sz w:val="22"/>
                <w:szCs w:val="22"/>
              </w:rPr>
              <w:t xml:space="preserve"> </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b/>
                <w:bCs/>
                <w:color w:val="000000"/>
                <w:kern w:val="0"/>
                <w:sz w:val="20"/>
                <w:szCs w:val="20"/>
              </w:rPr>
            </w:pPr>
            <w:r>
              <w:rPr>
                <w:rFonts w:hint="eastAsia" w:ascii="宋体" w:hAnsi="宋体" w:cs="宋体"/>
                <w:color w:val="000000"/>
                <w:kern w:val="0"/>
                <w:sz w:val="20"/>
                <w:szCs w:val="20"/>
              </w:rPr>
              <w:t>一般行政管理事务（</w:t>
            </w:r>
            <w:r>
              <w:rPr>
                <w:rFonts w:ascii="宋体" w:hAnsi="宋体" w:cs="宋体"/>
                <w:color w:val="000000"/>
                <w:kern w:val="0"/>
                <w:sz w:val="20"/>
                <w:szCs w:val="20"/>
              </w:rPr>
              <w:t>2010</w:t>
            </w:r>
            <w:r>
              <w:rPr>
                <w:rFonts w:hint="eastAsia" w:ascii="宋体" w:hAnsi="宋体" w:cs="宋体"/>
                <w:color w:val="000000"/>
                <w:kern w:val="0"/>
                <w:sz w:val="20"/>
                <w:szCs w:val="20"/>
              </w:rPr>
              <w:t>102）</w:t>
            </w:r>
          </w:p>
        </w:tc>
        <w:tc>
          <w:tcPr>
            <w:tcW w:w="1639" w:type="dxa"/>
            <w:tcBorders>
              <w:top w:val="nil"/>
              <w:left w:val="nil"/>
              <w:bottom w:val="single" w:color="auto" w:sz="4" w:space="0"/>
              <w:right w:val="single" w:color="auto" w:sz="4" w:space="0"/>
            </w:tcBorders>
            <w:vAlign w:val="bottom"/>
          </w:tcPr>
          <w:p>
            <w:pPr>
              <w:widowControl/>
              <w:jc w:val="right"/>
              <w:rPr>
                <w:rFonts w:ascii="宋体" w:hAnsi="宋体" w:cs="宋体"/>
                <w:bCs/>
                <w:kern w:val="0"/>
                <w:sz w:val="22"/>
                <w:szCs w:val="22"/>
              </w:rPr>
            </w:pPr>
            <w:r>
              <w:rPr>
                <w:rFonts w:hint="eastAsia" w:ascii="宋体" w:hAnsi="宋体" w:cs="宋体"/>
                <w:bCs/>
                <w:kern w:val="0"/>
                <w:sz w:val="22"/>
                <w:szCs w:val="22"/>
              </w:rPr>
              <w:t>135.74</w:t>
            </w:r>
          </w:p>
        </w:tc>
      </w:tr>
      <w:tr>
        <w:tblPrEx>
          <w:tblCellMar>
            <w:top w:w="0" w:type="dxa"/>
            <w:left w:w="108" w:type="dxa"/>
            <w:bottom w:w="0" w:type="dxa"/>
            <w:right w:w="108" w:type="dxa"/>
          </w:tblCellMar>
        </w:tblPrEx>
        <w:trPr>
          <w:trHeight w:val="285" w:hRule="atLeast"/>
        </w:trPr>
        <w:tc>
          <w:tcPr>
            <w:tcW w:w="704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1639" w:type="dxa"/>
            <w:tcBorders>
              <w:top w:val="nil"/>
              <w:left w:val="nil"/>
              <w:bottom w:val="single" w:color="auto" w:sz="4" w:space="0"/>
              <w:right w:val="single" w:color="auto" w:sz="4" w:space="0"/>
            </w:tcBorders>
            <w:vAlign w:val="bottom"/>
          </w:tcPr>
          <w:p>
            <w:pPr>
              <w:widowControl/>
              <w:jc w:val="right"/>
              <w:rPr>
                <w:rFonts w:ascii="宋体" w:cs="Times New Roman"/>
                <w:bCs/>
                <w:kern w:val="0"/>
                <w:sz w:val="22"/>
                <w:szCs w:val="22"/>
              </w:rPr>
            </w:pPr>
            <w:r>
              <w:rPr>
                <w:rFonts w:hint="eastAsia" w:ascii="宋体" w:hAnsi="宋体" w:cs="宋体"/>
                <w:bCs/>
                <w:kern w:val="0"/>
                <w:sz w:val="22"/>
                <w:szCs w:val="22"/>
              </w:rPr>
              <w:t>458.51</w:t>
            </w:r>
          </w:p>
        </w:tc>
      </w:tr>
    </w:tbl>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w:t>
      </w:r>
      <w:r>
        <w:rPr>
          <w:rFonts w:hint="eastAsia" w:ascii="宋体" w:hAnsi="宋体" w:cs="宋体"/>
          <w:color w:val="3E3E3E"/>
          <w:kern w:val="0"/>
          <w:sz w:val="32"/>
          <w:szCs w:val="32"/>
        </w:rPr>
        <w:t>2023年一般公共预算部门基本支出表</w:t>
      </w:r>
      <w:r>
        <w:rPr>
          <w:rFonts w:hint="eastAsia" w:ascii="宋体" w:hAnsi="宋体" w:cs="宋体"/>
          <w:color w:val="3E3E3E"/>
          <w:kern w:val="0"/>
          <w:sz w:val="32"/>
          <w:szCs w:val="32"/>
        </w:rPr>
        <w:fldChar w:fldCharType="end"/>
      </w:r>
    </w:p>
    <w:tbl>
      <w:tblPr>
        <w:tblStyle w:val="6"/>
        <w:tblW w:w="8620" w:type="dxa"/>
        <w:tblInd w:w="-106" w:type="dxa"/>
        <w:tblLayout w:type="fixed"/>
        <w:tblCellMar>
          <w:top w:w="0" w:type="dxa"/>
          <w:left w:w="108" w:type="dxa"/>
          <w:bottom w:w="0" w:type="dxa"/>
          <w:right w:w="108" w:type="dxa"/>
        </w:tblCellMar>
      </w:tblPr>
      <w:tblGrid>
        <w:gridCol w:w="1094"/>
        <w:gridCol w:w="3496"/>
        <w:gridCol w:w="1360"/>
        <w:gridCol w:w="1440"/>
        <w:gridCol w:w="1230"/>
      </w:tblGrid>
      <w:tr>
        <w:tblPrEx>
          <w:tblCellMar>
            <w:top w:w="0" w:type="dxa"/>
            <w:left w:w="108" w:type="dxa"/>
            <w:bottom w:w="0" w:type="dxa"/>
            <w:right w:w="108" w:type="dxa"/>
          </w:tblCellMar>
        </w:tblPrEx>
        <w:trPr>
          <w:trHeight w:val="366" w:hRule="atLeast"/>
        </w:trPr>
        <w:tc>
          <w:tcPr>
            <w:tcW w:w="459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80" w:hRule="atLeast"/>
        </w:trPr>
        <w:tc>
          <w:tcPr>
            <w:tcW w:w="8620" w:type="dxa"/>
            <w:gridSpan w:val="5"/>
            <w:tcBorders>
              <w:top w:val="nil"/>
              <w:left w:val="nil"/>
              <w:bottom w:val="nil"/>
              <w:right w:val="nil"/>
            </w:tcBorders>
            <w:vAlign w:val="bottom"/>
          </w:tcPr>
          <w:p>
            <w:pPr>
              <w:widowControl/>
              <w:jc w:val="center"/>
              <w:rPr>
                <w:rFonts w:ascii="宋体" w:cs="Times New Roman"/>
                <w:b/>
                <w:bCs/>
                <w:kern w:val="0"/>
                <w:sz w:val="36"/>
                <w:szCs w:val="36"/>
              </w:rPr>
            </w:pPr>
            <w:r>
              <w:rPr>
                <w:rFonts w:hint="eastAsia" w:ascii="宋体" w:hAnsi="宋体" w:cs="宋体"/>
                <w:b/>
                <w:bCs/>
                <w:kern w:val="0"/>
                <w:sz w:val="36"/>
                <w:szCs w:val="36"/>
              </w:rPr>
              <w:t>一般公共预算基本支出表</w:t>
            </w:r>
          </w:p>
        </w:tc>
      </w:tr>
      <w:tr>
        <w:tblPrEx>
          <w:tblCellMar>
            <w:top w:w="0" w:type="dxa"/>
            <w:left w:w="108" w:type="dxa"/>
            <w:bottom w:w="0" w:type="dxa"/>
            <w:right w:w="108" w:type="dxa"/>
          </w:tblCellMar>
        </w:tblPrEx>
        <w:trPr>
          <w:trHeight w:val="355" w:hRule="atLeast"/>
        </w:trPr>
        <w:tc>
          <w:tcPr>
            <w:tcW w:w="4590" w:type="dxa"/>
            <w:gridSpan w:val="2"/>
            <w:tcBorders>
              <w:top w:val="nil"/>
              <w:left w:val="nil"/>
              <w:bottom w:val="single" w:color="auto" w:sz="4" w:space="0"/>
              <w:right w:val="nil"/>
            </w:tcBorders>
            <w:vAlign w:val="bottom"/>
          </w:tcPr>
          <w:p>
            <w:pPr>
              <w:widowControl/>
              <w:jc w:val="left"/>
              <w:rPr>
                <w:rFonts w:ascii="宋体" w:cs="Times New Roman"/>
                <w:color w:val="000000"/>
                <w:kern w:val="0"/>
                <w:sz w:val="24"/>
                <w:szCs w:val="24"/>
              </w:rPr>
            </w:pPr>
            <w:r>
              <w:rPr>
                <w:rFonts w:hint="eastAsia" w:ascii="宋体" w:hAnsi="宋体" w:cs="宋体"/>
                <w:color w:val="000000"/>
                <w:kern w:val="0"/>
                <w:sz w:val="24"/>
                <w:szCs w:val="24"/>
              </w:rPr>
              <w:t>部门（单位）名称：中国共产党长春市二道区委员会办公室</w:t>
            </w:r>
          </w:p>
        </w:tc>
        <w:tc>
          <w:tcPr>
            <w:tcW w:w="1360" w:type="dxa"/>
            <w:tcBorders>
              <w:top w:val="nil"/>
              <w:left w:val="nil"/>
              <w:bottom w:val="nil"/>
              <w:right w:val="nil"/>
            </w:tcBorders>
            <w:vAlign w:val="bottom"/>
          </w:tcPr>
          <w:p>
            <w:pPr>
              <w:widowControl/>
              <w:jc w:val="center"/>
              <w:rPr>
                <w:rFonts w:ascii="宋体" w:cs="Times New Roman"/>
                <w:color w:val="000000"/>
                <w:kern w:val="0"/>
                <w:sz w:val="24"/>
                <w:szCs w:val="24"/>
              </w:rPr>
            </w:pPr>
          </w:p>
        </w:tc>
        <w:tc>
          <w:tcPr>
            <w:tcW w:w="1440" w:type="dxa"/>
            <w:tcBorders>
              <w:top w:val="nil"/>
              <w:left w:val="nil"/>
              <w:bottom w:val="nil"/>
              <w:right w:val="nil"/>
            </w:tcBorders>
            <w:vAlign w:val="bottom"/>
          </w:tcPr>
          <w:p>
            <w:pPr>
              <w:widowControl/>
              <w:rPr>
                <w:rFonts w:ascii="宋体" w:cs="Times New Roman"/>
                <w:kern w:val="0"/>
                <w:sz w:val="24"/>
                <w:szCs w:val="24"/>
              </w:rPr>
            </w:pPr>
          </w:p>
        </w:tc>
        <w:tc>
          <w:tcPr>
            <w:tcW w:w="1230" w:type="dxa"/>
            <w:tcBorders>
              <w:top w:val="nil"/>
              <w:left w:val="nil"/>
              <w:bottom w:val="nil"/>
              <w:right w:val="nil"/>
            </w:tcBorders>
            <w:vAlign w:val="bottom"/>
          </w:tcPr>
          <w:p>
            <w:pPr>
              <w:widowControl/>
              <w:jc w:val="center"/>
              <w:rPr>
                <w:rFonts w:ascii="宋体" w:cs="Times New Roman"/>
                <w:color w:val="000000"/>
                <w:kern w:val="0"/>
              </w:rPr>
            </w:pPr>
            <w:r>
              <w:rPr>
                <w:rFonts w:hint="eastAsia" w:ascii="宋体" w:hAnsi="宋体" w:cs="宋体"/>
                <w:color w:val="000000"/>
                <w:kern w:val="0"/>
              </w:rPr>
              <w:t>单位：万元</w:t>
            </w:r>
          </w:p>
        </w:tc>
      </w:tr>
      <w:tr>
        <w:tblPrEx>
          <w:tblCellMar>
            <w:top w:w="0" w:type="dxa"/>
            <w:left w:w="108" w:type="dxa"/>
            <w:bottom w:w="0" w:type="dxa"/>
            <w:right w:w="108" w:type="dxa"/>
          </w:tblCellMar>
        </w:tblPrEx>
        <w:trPr>
          <w:trHeight w:val="522" w:hRule="atLeast"/>
        </w:trPr>
        <w:tc>
          <w:tcPr>
            <w:tcW w:w="45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经济分类</w:t>
            </w:r>
          </w:p>
        </w:tc>
        <w:tc>
          <w:tcPr>
            <w:tcW w:w="403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2023年基本支出</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349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人员经费</w:t>
            </w:r>
          </w:p>
        </w:tc>
        <w:tc>
          <w:tcPr>
            <w:tcW w:w="123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301</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工资福利支出</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274.14</w:t>
            </w:r>
          </w:p>
        </w:tc>
        <w:tc>
          <w:tcPr>
            <w:tcW w:w="144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30101</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基本工资</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ascii="宋体" w:hAnsi="宋体" w:cs="宋体"/>
                <w:color w:val="000000"/>
                <w:kern w:val="0"/>
                <w:sz w:val="22"/>
                <w:szCs w:val="22"/>
                <w:lang w:bidi="ar"/>
              </w:rPr>
              <w:t>240.92</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ascii="宋体" w:hAnsi="宋体" w:cs="宋体"/>
                <w:color w:val="000000"/>
                <w:kern w:val="0"/>
                <w:sz w:val="22"/>
                <w:szCs w:val="22"/>
                <w:lang w:bidi="ar"/>
              </w:rPr>
              <w:t>240.92</w:t>
            </w:r>
          </w:p>
        </w:tc>
        <w:tc>
          <w:tcPr>
            <w:tcW w:w="123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30102</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津贴补贴</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5.50</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5.5</w:t>
            </w:r>
          </w:p>
        </w:tc>
        <w:tc>
          <w:tcPr>
            <w:tcW w:w="123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30108</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机关事业单位基本养老保险缴费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ascii="宋体" w:hAnsi="宋体" w:cs="宋体"/>
                <w:color w:val="000000"/>
                <w:kern w:val="0"/>
                <w:sz w:val="22"/>
                <w:szCs w:val="22"/>
                <w:lang w:bidi="ar"/>
              </w:rPr>
              <w:t>15.36</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ascii="宋体" w:hAnsi="宋体" w:cs="宋体"/>
                <w:color w:val="000000"/>
                <w:kern w:val="0"/>
                <w:sz w:val="22"/>
                <w:szCs w:val="22"/>
                <w:lang w:bidi="ar"/>
              </w:rPr>
              <w:t>15.36</w:t>
            </w:r>
          </w:p>
        </w:tc>
        <w:tc>
          <w:tcPr>
            <w:tcW w:w="123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b/>
                <w:bCs/>
                <w:color w:val="000000"/>
                <w:kern w:val="0"/>
                <w:sz w:val="24"/>
                <w:szCs w:val="24"/>
              </w:rPr>
            </w:pPr>
            <w:r>
              <w:rPr>
                <w:rFonts w:hint="eastAsia" w:ascii="宋体" w:hAnsi="宋体" w:cs="宋体"/>
                <w:color w:val="000000"/>
                <w:kern w:val="0"/>
                <w:sz w:val="22"/>
                <w:szCs w:val="22"/>
                <w:lang w:bidi="ar"/>
              </w:rPr>
              <w:t>30110</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b/>
                <w:bCs/>
                <w:color w:val="000000"/>
                <w:kern w:val="0"/>
                <w:sz w:val="24"/>
                <w:szCs w:val="24"/>
              </w:rPr>
            </w:pPr>
            <w:r>
              <w:rPr>
                <w:rFonts w:hint="eastAsia" w:ascii="宋体" w:hAnsi="宋体" w:cs="宋体"/>
                <w:color w:val="000000"/>
                <w:kern w:val="0"/>
                <w:sz w:val="22"/>
                <w:szCs w:val="22"/>
                <w:lang w:bidi="ar"/>
              </w:rPr>
              <w:t>职工基本医疗保险缴费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b/>
                <w:bCs/>
                <w:color w:val="000000"/>
                <w:kern w:val="0"/>
                <w:sz w:val="24"/>
                <w:szCs w:val="24"/>
              </w:rPr>
            </w:pPr>
            <w:r>
              <w:rPr>
                <w:rFonts w:ascii="宋体" w:hAnsi="宋体" w:cs="宋体"/>
                <w:color w:val="000000"/>
                <w:kern w:val="0"/>
                <w:sz w:val="22"/>
                <w:szCs w:val="22"/>
                <w:lang w:bidi="ar"/>
              </w:rPr>
              <w:t>12.36</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s="Times New Roman"/>
                <w:b/>
                <w:bCs/>
                <w:color w:val="000000"/>
                <w:kern w:val="0"/>
                <w:sz w:val="24"/>
                <w:szCs w:val="24"/>
              </w:rPr>
            </w:pPr>
            <w:r>
              <w:rPr>
                <w:rFonts w:ascii="宋体" w:hAnsi="宋体" w:cs="宋体"/>
                <w:color w:val="000000"/>
                <w:kern w:val="0"/>
                <w:sz w:val="22"/>
                <w:szCs w:val="22"/>
                <w:lang w:bidi="ar"/>
              </w:rPr>
              <w:t>12.36</w:t>
            </w:r>
            <w:r>
              <w:rPr>
                <w:rFonts w:hint="eastAsia" w:ascii="宋体" w:hAnsi="宋体" w:cs="宋体"/>
                <w:color w:val="000000"/>
                <w:kern w:val="0"/>
                <w:sz w:val="22"/>
                <w:szCs w:val="22"/>
                <w:lang w:bidi="ar"/>
              </w:rPr>
              <w:t xml:space="preserve"> </w:t>
            </w:r>
          </w:p>
        </w:tc>
        <w:tc>
          <w:tcPr>
            <w:tcW w:w="1230" w:type="dxa"/>
            <w:tcBorders>
              <w:top w:val="nil"/>
              <w:left w:val="nil"/>
              <w:bottom w:val="single" w:color="auto" w:sz="4" w:space="0"/>
              <w:right w:val="single" w:color="auto" w:sz="4" w:space="0"/>
            </w:tcBorders>
            <w:vAlign w:val="center"/>
          </w:tcPr>
          <w:p>
            <w:pPr>
              <w:jc w:val="right"/>
              <w:rPr>
                <w:rFonts w:ascii="宋体" w:cs="Times New Roman"/>
                <w:b/>
                <w:bCs/>
                <w:color w:val="000000"/>
                <w:kern w:val="0"/>
                <w:sz w:val="24"/>
                <w:szCs w:val="24"/>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302</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商品和服务支出</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48.63</w:t>
            </w:r>
          </w:p>
        </w:tc>
        <w:tc>
          <w:tcPr>
            <w:tcW w:w="144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30201</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办公费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9.90</w:t>
            </w:r>
          </w:p>
        </w:tc>
        <w:tc>
          <w:tcPr>
            <w:tcW w:w="144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9.9</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30207</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邮电费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0.3</w:t>
            </w:r>
            <w:r>
              <w:rPr>
                <w:rFonts w:ascii="宋体" w:hAnsi="宋体" w:cs="宋体"/>
                <w:color w:val="000000"/>
                <w:kern w:val="0"/>
                <w:sz w:val="22"/>
                <w:szCs w:val="22"/>
                <w:lang w:bidi="ar"/>
              </w:rPr>
              <w:t>5</w:t>
            </w:r>
          </w:p>
        </w:tc>
        <w:tc>
          <w:tcPr>
            <w:tcW w:w="144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0.3</w:t>
            </w:r>
            <w:r>
              <w:rPr>
                <w:rFonts w:ascii="宋体" w:hAnsi="宋体" w:cs="宋体"/>
                <w:color w:val="000000"/>
                <w:kern w:val="0"/>
                <w:sz w:val="22"/>
                <w:szCs w:val="22"/>
                <w:lang w:bidi="ar"/>
              </w:rPr>
              <w:t>5</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30231</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cs="Times New Roman"/>
                <w:color w:val="000000"/>
                <w:kern w:val="0"/>
                <w:sz w:val="24"/>
                <w:szCs w:val="24"/>
              </w:rPr>
            </w:pPr>
            <w:r>
              <w:rPr>
                <w:rFonts w:hint="eastAsia" w:ascii="宋体" w:hAnsi="宋体" w:cs="宋体"/>
                <w:color w:val="000000"/>
                <w:kern w:val="0"/>
                <w:sz w:val="22"/>
                <w:szCs w:val="22"/>
                <w:lang w:bidi="ar"/>
              </w:rPr>
              <w:t>公车运行维护费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12.38</w:t>
            </w:r>
          </w:p>
        </w:tc>
        <w:tc>
          <w:tcPr>
            <w:tcW w:w="144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p>
        </w:tc>
        <w:tc>
          <w:tcPr>
            <w:tcW w:w="123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12.38</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30239</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其他交通费用</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0</w:t>
            </w:r>
          </w:p>
        </w:tc>
        <w:tc>
          <w:tcPr>
            <w:tcW w:w="144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lang w:bidi="ar"/>
              </w:rPr>
            </w:pPr>
          </w:p>
        </w:tc>
        <w:tc>
          <w:tcPr>
            <w:tcW w:w="123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15.</w:t>
            </w:r>
            <w:r>
              <w:rPr>
                <w:rFonts w:ascii="宋体" w:hAnsi="宋体" w:cs="宋体"/>
                <w:color w:val="000000"/>
                <w:kern w:val="0"/>
                <w:sz w:val="22"/>
                <w:szCs w:val="22"/>
                <w:lang w:bidi="ar"/>
              </w:rPr>
              <w:t>00</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50205</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委托业务费</w:t>
            </w: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11.00</w:t>
            </w:r>
          </w:p>
        </w:tc>
        <w:tc>
          <w:tcPr>
            <w:tcW w:w="144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lang w:bidi="ar"/>
              </w:rPr>
            </w:pPr>
          </w:p>
        </w:tc>
        <w:tc>
          <w:tcPr>
            <w:tcW w:w="1230" w:type="dxa"/>
            <w:tcBorders>
              <w:top w:val="nil"/>
              <w:left w:val="nil"/>
              <w:bottom w:val="single" w:color="auto" w:sz="4" w:space="0"/>
              <w:right w:val="single" w:color="auto" w:sz="4" w:space="0"/>
            </w:tcBorders>
            <w:vAlign w:val="center"/>
          </w:tcPr>
          <w:p>
            <w:pPr>
              <w:jc w:val="right"/>
              <w:rPr>
                <w:rFonts w:ascii="宋体" w:cs="Times New Roman"/>
                <w:color w:val="000000"/>
                <w:kern w:val="0"/>
                <w:sz w:val="24"/>
                <w:szCs w:val="24"/>
              </w:rPr>
            </w:pPr>
            <w:r>
              <w:rPr>
                <w:rFonts w:hint="eastAsia" w:ascii="宋体" w:cs="Times New Roman"/>
                <w:color w:val="000000"/>
                <w:kern w:val="0"/>
                <w:sz w:val="24"/>
                <w:szCs w:val="24"/>
              </w:rPr>
              <w:t>1</w:t>
            </w:r>
            <w:r>
              <w:rPr>
                <w:rFonts w:ascii="宋体" w:cs="Times New Roman"/>
                <w:color w:val="000000"/>
                <w:kern w:val="0"/>
                <w:sz w:val="24"/>
                <w:szCs w:val="24"/>
              </w:rPr>
              <w:t>1.00</w:t>
            </w:r>
          </w:p>
        </w:tc>
      </w:tr>
      <w:tr>
        <w:tblPrEx>
          <w:tblCellMar>
            <w:top w:w="0" w:type="dxa"/>
            <w:left w:w="108" w:type="dxa"/>
            <w:bottom w:w="0" w:type="dxa"/>
            <w:right w:w="108" w:type="dxa"/>
          </w:tblCellMar>
        </w:tblPrEx>
        <w:trPr>
          <w:trHeight w:val="522" w:hRule="atLeast"/>
        </w:trPr>
        <w:tc>
          <w:tcPr>
            <w:tcW w:w="1094"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b/>
                <w:bCs/>
                <w:color w:val="000000"/>
                <w:kern w:val="0"/>
                <w:sz w:val="22"/>
                <w:szCs w:val="22"/>
                <w:lang w:bidi="ar"/>
              </w:rPr>
              <w:t>合计</w:t>
            </w:r>
          </w:p>
        </w:tc>
        <w:tc>
          <w:tcPr>
            <w:tcW w:w="3496"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p>
        </w:tc>
        <w:tc>
          <w:tcPr>
            <w:tcW w:w="136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322.77</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274.14</w:t>
            </w:r>
          </w:p>
        </w:tc>
        <w:tc>
          <w:tcPr>
            <w:tcW w:w="123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24"/>
                <w:szCs w:val="24"/>
              </w:rPr>
            </w:pPr>
            <w:r>
              <w:rPr>
                <w:rFonts w:hint="eastAsia" w:ascii="宋体" w:hAnsi="宋体" w:cs="宋体"/>
                <w:color w:val="000000"/>
                <w:kern w:val="0"/>
                <w:sz w:val="22"/>
                <w:szCs w:val="22"/>
                <w:lang w:bidi="ar"/>
              </w:rPr>
              <w:t>48.63</w:t>
            </w:r>
          </w:p>
        </w:tc>
      </w:tr>
    </w:tbl>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w:t>
      </w:r>
      <w:r>
        <w:rPr>
          <w:rFonts w:hint="eastAsia" w:ascii="宋体" w:hAnsi="宋体" w:cs="宋体"/>
          <w:color w:val="3E3E3E"/>
          <w:kern w:val="0"/>
          <w:sz w:val="32"/>
          <w:szCs w:val="32"/>
        </w:rPr>
        <w:t>2023年预算“三公经费”支出表</w:t>
      </w:r>
      <w:r>
        <w:rPr>
          <w:rFonts w:hint="eastAsia" w:ascii="宋体" w:hAnsi="宋体" w:cs="宋体"/>
          <w:color w:val="3E3E3E"/>
          <w:kern w:val="0"/>
          <w:sz w:val="32"/>
          <w:szCs w:val="32"/>
        </w:rPr>
        <w:fldChar w:fldCharType="end"/>
      </w:r>
    </w:p>
    <w:tbl>
      <w:tblPr>
        <w:tblStyle w:val="6"/>
        <w:tblW w:w="8315" w:type="dxa"/>
        <w:tblInd w:w="-106" w:type="dxa"/>
        <w:tblLayout w:type="fixed"/>
        <w:tblCellMar>
          <w:top w:w="0" w:type="dxa"/>
          <w:left w:w="108" w:type="dxa"/>
          <w:bottom w:w="0" w:type="dxa"/>
          <w:right w:w="108" w:type="dxa"/>
        </w:tblCellMar>
      </w:tblPr>
      <w:tblGrid>
        <w:gridCol w:w="3174"/>
        <w:gridCol w:w="926"/>
        <w:gridCol w:w="1680"/>
        <w:gridCol w:w="2535"/>
      </w:tblGrid>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4</w:t>
            </w: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一般公共预算“三公”经费支出表</w:t>
            </w:r>
          </w:p>
        </w:tc>
      </w:tr>
      <w:tr>
        <w:tblPrEx>
          <w:tblCellMar>
            <w:top w:w="0" w:type="dxa"/>
            <w:left w:w="108" w:type="dxa"/>
            <w:bottom w:w="0" w:type="dxa"/>
            <w:right w:w="108" w:type="dxa"/>
          </w:tblCellMar>
        </w:tblPrEx>
        <w:trPr>
          <w:trHeight w:val="559" w:hRule="atLeast"/>
        </w:trPr>
        <w:tc>
          <w:tcPr>
            <w:tcW w:w="31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部门（单位）名称：中国共产党长春市二道区委员会办公室</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项</w:t>
            </w:r>
            <w:r>
              <w:rPr>
                <w:rFonts w:ascii="Times New Roman" w:hAnsi="Times New Roman" w:cs="Times New Roman"/>
                <w:b/>
                <w:bCs/>
                <w:color w:val="000000"/>
                <w:kern w:val="0"/>
                <w:sz w:val="18"/>
                <w:szCs w:val="18"/>
              </w:rPr>
              <w:t xml:space="preserve">    </w:t>
            </w:r>
            <w:r>
              <w:rPr>
                <w:rFonts w:hint="eastAsia" w:ascii="宋体" w:hAnsi="宋体" w:cs="宋体"/>
                <w:b/>
                <w:bCs/>
                <w:color w:val="000000"/>
                <w:kern w:val="0"/>
                <w:sz w:val="18"/>
                <w:szCs w:val="18"/>
              </w:rPr>
              <w:t>目</w:t>
            </w:r>
          </w:p>
        </w:tc>
        <w:tc>
          <w:tcPr>
            <w:tcW w:w="92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2023年</w:t>
            </w:r>
            <w:r>
              <w:rPr>
                <w:rFonts w:hint="eastAsia" w:ascii="宋体" w:hAnsi="宋体" w:cs="宋体"/>
                <w:b/>
                <w:bCs/>
                <w:color w:val="000000"/>
                <w:kern w:val="0"/>
                <w:sz w:val="18"/>
                <w:szCs w:val="18"/>
              </w:rPr>
              <w:t>预算数</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比</w:t>
            </w:r>
            <w:r>
              <w:rPr>
                <w:rFonts w:ascii="Times New Roman" w:hAnsi="Times New Roman" w:cs="Times New Roman"/>
                <w:b/>
                <w:bCs/>
                <w:color w:val="000000"/>
                <w:kern w:val="0"/>
                <w:sz w:val="18"/>
                <w:szCs w:val="18"/>
              </w:rPr>
              <w:t>20</w:t>
            </w:r>
            <w:r>
              <w:rPr>
                <w:rFonts w:hint="eastAsia" w:ascii="Times New Roman" w:hAnsi="Times New Roman" w:cs="Times New Roman"/>
                <w:b/>
                <w:bCs/>
                <w:color w:val="000000"/>
                <w:kern w:val="0"/>
                <w:sz w:val="18"/>
                <w:szCs w:val="18"/>
              </w:rPr>
              <w:t>2</w:t>
            </w:r>
            <w:r>
              <w:rPr>
                <w:rFonts w:ascii="Times New Roman" w:hAnsi="Times New Roman" w:cs="Times New Roman"/>
                <w:b/>
                <w:bCs/>
                <w:color w:val="000000"/>
                <w:kern w:val="0"/>
                <w:sz w:val="18"/>
                <w:szCs w:val="18"/>
              </w:rPr>
              <w:t>2</w:t>
            </w:r>
            <w:r>
              <w:rPr>
                <w:rFonts w:hint="eastAsia" w:ascii="宋体" w:hAnsi="宋体" w:cs="宋体"/>
                <w:b/>
                <w:bCs/>
                <w:color w:val="000000"/>
                <w:kern w:val="0"/>
                <w:sz w:val="18"/>
                <w:szCs w:val="18"/>
              </w:rPr>
              <w:t>年预算数增减</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增减变化原因说明</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bottom"/>
          </w:tcPr>
          <w:p>
            <w:pPr>
              <w:widowControl/>
              <w:jc w:val="center"/>
              <w:textAlignment w:val="bottom"/>
              <w:rPr>
                <w:rFonts w:ascii="宋体" w:cs="Times New Roman"/>
                <w:color w:val="000000"/>
                <w:kern w:val="0"/>
                <w:sz w:val="18"/>
                <w:szCs w:val="18"/>
              </w:rPr>
            </w:pPr>
            <w:r>
              <w:rPr>
                <w:rFonts w:hint="eastAsia" w:ascii="宋体" w:hAnsi="宋体" w:cs="宋体"/>
                <w:color w:val="000000"/>
                <w:kern w:val="0"/>
                <w:sz w:val="24"/>
                <w:szCs w:val="24"/>
                <w:lang w:bidi="ar"/>
              </w:rPr>
              <w:t>合</w:t>
            </w:r>
            <w:r>
              <w:rPr>
                <w:rStyle w:val="10"/>
                <w:lang w:bidi="ar"/>
              </w:rPr>
              <w:t xml:space="preserve"> </w:t>
            </w:r>
            <w:r>
              <w:rPr>
                <w:rStyle w:val="11"/>
                <w:rFonts w:hint="default"/>
                <w:lang w:bidi="ar"/>
              </w:rPr>
              <w:t>计</w:t>
            </w:r>
          </w:p>
        </w:tc>
        <w:tc>
          <w:tcPr>
            <w:tcW w:w="926" w:type="dxa"/>
            <w:tcBorders>
              <w:top w:val="nil"/>
              <w:left w:val="nil"/>
              <w:bottom w:val="single" w:color="auto" w:sz="4" w:space="0"/>
              <w:right w:val="single" w:color="auto" w:sz="4" w:space="0"/>
            </w:tcBorders>
            <w:vAlign w:val="bottom"/>
          </w:tcPr>
          <w:p>
            <w:pPr>
              <w:jc w:val="center"/>
              <w:rPr>
                <w:rFonts w:ascii="华文细黑" w:hAnsi="华文细黑" w:eastAsia="华文细黑" w:cs="华文细黑"/>
                <w:color w:val="000000"/>
                <w:kern w:val="0"/>
                <w:sz w:val="18"/>
                <w:szCs w:val="18"/>
              </w:rPr>
            </w:pPr>
            <w:r>
              <w:rPr>
                <w:rFonts w:ascii="华文细黑" w:hAnsi="华文细黑" w:eastAsia="华文细黑" w:cs="华文细黑"/>
                <w:color w:val="000000"/>
                <w:kern w:val="0"/>
                <w:sz w:val="18"/>
                <w:szCs w:val="18"/>
              </w:rPr>
              <w:t>12</w:t>
            </w:r>
            <w:r>
              <w:rPr>
                <w:rFonts w:hint="eastAsia" w:ascii="华文细黑" w:hAnsi="华文细黑" w:eastAsia="华文细黑" w:cs="华文细黑"/>
                <w:color w:val="000000"/>
                <w:kern w:val="0"/>
                <w:sz w:val="18"/>
                <w:szCs w:val="18"/>
              </w:rPr>
              <w:t>.38</w:t>
            </w:r>
          </w:p>
        </w:tc>
        <w:tc>
          <w:tcPr>
            <w:tcW w:w="1680" w:type="dxa"/>
            <w:tcBorders>
              <w:top w:val="nil"/>
              <w:left w:val="nil"/>
              <w:bottom w:val="single" w:color="auto" w:sz="4" w:space="0"/>
              <w:right w:val="single" w:color="auto" w:sz="4" w:space="0"/>
            </w:tcBorders>
            <w:vAlign w:val="bottom"/>
          </w:tcPr>
          <w:p>
            <w:pPr>
              <w:rPr>
                <w:rFonts w:ascii="Arial" w:hAnsi="Arial" w:cs="Arial"/>
                <w:color w:val="000000"/>
                <w:kern w:val="0"/>
                <w:sz w:val="18"/>
                <w:szCs w:val="18"/>
              </w:rPr>
            </w:pPr>
          </w:p>
        </w:tc>
        <w:tc>
          <w:tcPr>
            <w:tcW w:w="2535" w:type="dxa"/>
            <w:tcBorders>
              <w:top w:val="nil"/>
              <w:left w:val="nil"/>
              <w:bottom w:val="single" w:color="auto" w:sz="4" w:space="0"/>
              <w:right w:val="single" w:color="auto" w:sz="4" w:space="0"/>
            </w:tcBorders>
            <w:vAlign w:val="bottom"/>
          </w:tcPr>
          <w:p>
            <w:pPr>
              <w:rPr>
                <w:rFonts w:ascii="宋体" w:cs="Times New Roman"/>
                <w:color w:val="000000"/>
                <w:kern w:val="0"/>
                <w:sz w:val="18"/>
                <w:szCs w:val="18"/>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ind w:firstLine="210" w:firstLineChars="100"/>
              <w:jc w:val="center"/>
              <w:textAlignment w:val="bottom"/>
              <w:rPr>
                <w:rFonts w:ascii="Times New Roman" w:hAnsi="Times New Roman" w:cs="Times New Roman"/>
                <w:color w:val="000000"/>
                <w:kern w:val="0"/>
              </w:rPr>
            </w:pPr>
            <w:r>
              <w:rPr>
                <w:rFonts w:ascii="Times New Roman" w:hAnsi="Times New Roman" w:cs="Times New Roman"/>
                <w:color w:val="000000"/>
                <w:kern w:val="0"/>
                <w:lang w:bidi="ar"/>
              </w:rPr>
              <w:t>1</w:t>
            </w:r>
            <w:r>
              <w:rPr>
                <w:rStyle w:val="11"/>
                <w:rFonts w:hint="default"/>
                <w:sz w:val="21"/>
                <w:szCs w:val="21"/>
                <w:lang w:bidi="ar"/>
              </w:rPr>
              <w:t>、因公出国（境）费用</w:t>
            </w:r>
          </w:p>
        </w:tc>
        <w:tc>
          <w:tcPr>
            <w:tcW w:w="926" w:type="dxa"/>
            <w:tcBorders>
              <w:top w:val="nil"/>
              <w:left w:val="nil"/>
              <w:bottom w:val="single" w:color="auto" w:sz="4" w:space="0"/>
              <w:right w:val="single" w:color="auto" w:sz="4" w:space="0"/>
            </w:tcBorders>
            <w:vAlign w:val="center"/>
          </w:tcPr>
          <w:p>
            <w:pPr>
              <w:widowControl/>
              <w:jc w:val="center"/>
              <w:textAlignment w:val="bottom"/>
              <w:rPr>
                <w:rFonts w:ascii="华文细黑" w:hAnsi="华文细黑" w:eastAsia="华文细黑" w:cs="Times New Roman"/>
                <w:color w:val="000000"/>
                <w:kern w:val="0"/>
              </w:rPr>
            </w:pPr>
            <w:r>
              <w:rPr>
                <w:rFonts w:hint="eastAsia" w:ascii="华文细黑" w:hAnsi="华文细黑" w:eastAsia="华文细黑" w:cs="华文细黑"/>
                <w:color w:val="000000"/>
                <w:kern w:val="0"/>
                <w:lang w:bidi="ar"/>
              </w:rPr>
              <w:t>0</w:t>
            </w:r>
          </w:p>
        </w:tc>
        <w:tc>
          <w:tcPr>
            <w:tcW w:w="1680" w:type="dxa"/>
            <w:tcBorders>
              <w:top w:val="nil"/>
              <w:left w:val="nil"/>
              <w:bottom w:val="single" w:color="auto" w:sz="4" w:space="0"/>
              <w:right w:val="single" w:color="auto" w:sz="4" w:space="0"/>
            </w:tcBorders>
            <w:vAlign w:val="center"/>
          </w:tcPr>
          <w:p>
            <w:pPr>
              <w:widowControl/>
              <w:jc w:val="center"/>
              <w:textAlignment w:val="bottom"/>
              <w:rPr>
                <w:rFonts w:ascii="Arial" w:hAnsi="Arial" w:cs="Arial"/>
                <w:color w:val="000000"/>
                <w:kern w:val="0"/>
              </w:rPr>
            </w:pPr>
          </w:p>
        </w:tc>
        <w:tc>
          <w:tcPr>
            <w:tcW w:w="2535" w:type="dxa"/>
            <w:tcBorders>
              <w:top w:val="nil"/>
              <w:left w:val="nil"/>
              <w:bottom w:val="single" w:color="auto" w:sz="4" w:space="0"/>
              <w:right w:val="single" w:color="auto" w:sz="4" w:space="0"/>
            </w:tcBorders>
            <w:vAlign w:val="center"/>
          </w:tcPr>
          <w:p>
            <w:pPr>
              <w:widowControl/>
              <w:jc w:val="center"/>
              <w:textAlignment w:val="bottom"/>
              <w:rPr>
                <w:rFonts w:ascii="Arial" w:hAnsi="Arial" w:cs="Arial"/>
                <w:color w:val="000000"/>
                <w:kern w:val="0"/>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ind w:firstLine="210" w:firstLineChars="100"/>
              <w:jc w:val="center"/>
              <w:textAlignment w:val="bottom"/>
              <w:rPr>
                <w:rFonts w:ascii="Times New Roman" w:hAnsi="Times New Roman" w:cs="Times New Roman"/>
                <w:color w:val="000000"/>
                <w:kern w:val="0"/>
              </w:rPr>
            </w:pPr>
            <w:r>
              <w:rPr>
                <w:rFonts w:ascii="Times New Roman" w:hAnsi="Times New Roman" w:cs="Times New Roman"/>
                <w:color w:val="000000"/>
                <w:kern w:val="0"/>
                <w:lang w:bidi="ar"/>
              </w:rPr>
              <w:t>2</w:t>
            </w:r>
            <w:r>
              <w:rPr>
                <w:rStyle w:val="11"/>
                <w:rFonts w:hint="default"/>
                <w:sz w:val="21"/>
                <w:szCs w:val="21"/>
                <w:lang w:bidi="ar"/>
              </w:rPr>
              <w:t>、公务接待费</w:t>
            </w:r>
          </w:p>
        </w:tc>
        <w:tc>
          <w:tcPr>
            <w:tcW w:w="926" w:type="dxa"/>
            <w:tcBorders>
              <w:top w:val="nil"/>
              <w:left w:val="nil"/>
              <w:bottom w:val="single" w:color="auto" w:sz="4" w:space="0"/>
              <w:right w:val="single" w:color="auto" w:sz="4" w:space="0"/>
            </w:tcBorders>
            <w:vAlign w:val="center"/>
          </w:tcPr>
          <w:p>
            <w:pPr>
              <w:widowControl/>
              <w:jc w:val="center"/>
              <w:textAlignment w:val="bottom"/>
              <w:rPr>
                <w:rFonts w:ascii="华文细黑" w:hAnsi="华文细黑" w:eastAsia="华文细黑" w:cs="华文细黑"/>
                <w:color w:val="000000"/>
                <w:kern w:val="0"/>
              </w:rPr>
            </w:pPr>
            <w:r>
              <w:rPr>
                <w:rFonts w:hint="eastAsia" w:ascii="华文细黑" w:hAnsi="华文细黑" w:eastAsia="华文细黑" w:cs="华文细黑"/>
                <w:color w:val="000000"/>
                <w:kern w:val="0"/>
                <w:lang w:bidi="ar"/>
              </w:rPr>
              <w:t>0</w:t>
            </w:r>
          </w:p>
        </w:tc>
        <w:tc>
          <w:tcPr>
            <w:tcW w:w="1680" w:type="dxa"/>
            <w:tcBorders>
              <w:top w:val="nil"/>
              <w:left w:val="nil"/>
              <w:bottom w:val="single" w:color="auto" w:sz="4" w:space="0"/>
              <w:right w:val="single" w:color="auto" w:sz="4" w:space="0"/>
            </w:tcBorders>
            <w:vAlign w:val="center"/>
          </w:tcPr>
          <w:p>
            <w:pPr>
              <w:jc w:val="center"/>
              <w:rPr>
                <w:rFonts w:ascii="Arial" w:hAnsi="Arial" w:cs="Arial"/>
                <w:color w:val="000000"/>
                <w:kern w:val="0"/>
              </w:rPr>
            </w:pPr>
          </w:p>
        </w:tc>
        <w:tc>
          <w:tcPr>
            <w:tcW w:w="2535" w:type="dxa"/>
            <w:tcBorders>
              <w:top w:val="nil"/>
              <w:left w:val="nil"/>
              <w:bottom w:val="single" w:color="auto" w:sz="4" w:space="0"/>
              <w:right w:val="single" w:color="auto" w:sz="4" w:space="0"/>
            </w:tcBorders>
            <w:vAlign w:val="center"/>
          </w:tcPr>
          <w:p>
            <w:pPr>
              <w:jc w:val="center"/>
              <w:rPr>
                <w:rFonts w:ascii="宋体" w:cs="Times New Roman"/>
                <w:color w:val="000000"/>
                <w:kern w:val="0"/>
              </w:rPr>
            </w:pP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ind w:firstLine="210" w:firstLineChars="100"/>
              <w:jc w:val="center"/>
              <w:textAlignment w:val="bottom"/>
              <w:rPr>
                <w:rFonts w:ascii="Times New Roman" w:hAnsi="Times New Roman" w:cs="Times New Roman"/>
                <w:color w:val="000000"/>
                <w:kern w:val="0"/>
              </w:rPr>
            </w:pPr>
            <w:r>
              <w:rPr>
                <w:rFonts w:ascii="Times New Roman" w:hAnsi="Times New Roman" w:cs="Times New Roman"/>
                <w:color w:val="000000"/>
                <w:kern w:val="0"/>
                <w:lang w:bidi="ar"/>
              </w:rPr>
              <w:t>3</w:t>
            </w:r>
            <w:r>
              <w:rPr>
                <w:rStyle w:val="11"/>
                <w:rFonts w:hint="default"/>
                <w:sz w:val="21"/>
                <w:szCs w:val="21"/>
                <w:lang w:bidi="ar"/>
              </w:rPr>
              <w:t>、公务用车费</w:t>
            </w:r>
          </w:p>
        </w:tc>
        <w:tc>
          <w:tcPr>
            <w:tcW w:w="926" w:type="dxa"/>
            <w:tcBorders>
              <w:top w:val="nil"/>
              <w:left w:val="nil"/>
              <w:bottom w:val="single" w:color="auto" w:sz="4" w:space="0"/>
              <w:right w:val="single" w:color="auto" w:sz="4" w:space="0"/>
            </w:tcBorders>
            <w:vAlign w:val="center"/>
          </w:tcPr>
          <w:p>
            <w:pPr>
              <w:jc w:val="center"/>
              <w:rPr>
                <w:rFonts w:ascii="华文细黑" w:hAnsi="华文细黑" w:eastAsia="华文细黑" w:cs="华文细黑"/>
                <w:color w:val="000000"/>
                <w:kern w:val="0"/>
              </w:rPr>
            </w:pPr>
            <w:r>
              <w:rPr>
                <w:rFonts w:hint="eastAsia" w:ascii="华文细黑" w:hAnsi="华文细黑" w:eastAsia="华文细黑" w:cs="华文细黑"/>
                <w:color w:val="000000"/>
                <w:kern w:val="0"/>
              </w:rPr>
              <w:t>12.38</w:t>
            </w:r>
          </w:p>
        </w:tc>
        <w:tc>
          <w:tcPr>
            <w:tcW w:w="1680" w:type="dxa"/>
            <w:tcBorders>
              <w:top w:val="nil"/>
              <w:left w:val="nil"/>
              <w:bottom w:val="single" w:color="auto" w:sz="4" w:space="0"/>
              <w:right w:val="single" w:color="auto" w:sz="4" w:space="0"/>
            </w:tcBorders>
            <w:vAlign w:val="center"/>
          </w:tcPr>
          <w:p>
            <w:pPr>
              <w:jc w:val="center"/>
              <w:rPr>
                <w:rFonts w:ascii="Arial" w:hAnsi="Arial" w:cs="Arial"/>
                <w:color w:val="000000"/>
                <w:kern w:val="0"/>
              </w:rPr>
            </w:pPr>
            <w:r>
              <w:rPr>
                <w:rFonts w:ascii="Arial" w:hAnsi="Arial" w:cs="Arial"/>
                <w:color w:val="000000"/>
                <w:kern w:val="0"/>
              </w:rPr>
              <w:t>32%</w:t>
            </w:r>
          </w:p>
        </w:tc>
        <w:tc>
          <w:tcPr>
            <w:tcW w:w="2535" w:type="dxa"/>
            <w:tcBorders>
              <w:top w:val="nil"/>
              <w:left w:val="nil"/>
              <w:bottom w:val="single" w:color="auto" w:sz="4" w:space="0"/>
              <w:right w:val="single" w:color="auto" w:sz="4" w:space="0"/>
            </w:tcBorders>
            <w:vAlign w:val="center"/>
          </w:tcPr>
          <w:p>
            <w:pPr>
              <w:jc w:val="center"/>
              <w:rPr>
                <w:rFonts w:ascii="Arial" w:hAnsi="Arial" w:cs="Arial"/>
                <w:color w:val="000000"/>
                <w:kern w:val="0"/>
              </w:rPr>
            </w:pPr>
            <w:r>
              <w:rPr>
                <w:rFonts w:hint="eastAsia" w:ascii="Arial" w:hAnsi="Arial" w:cs="Arial"/>
                <w:color w:val="000000"/>
                <w:kern w:val="0"/>
              </w:rPr>
              <w:t>新增公务用车一台</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textAlignment w:val="bottom"/>
              <w:rPr>
                <w:rFonts w:ascii="Times New Roman" w:hAnsi="Times New Roman" w:cs="Times New Roman"/>
                <w:color w:val="000000"/>
                <w:kern w:val="0"/>
              </w:rPr>
            </w:pPr>
            <w:r>
              <w:rPr>
                <w:rStyle w:val="11"/>
                <w:rFonts w:hint="default"/>
                <w:sz w:val="21"/>
                <w:szCs w:val="21"/>
                <w:lang w:bidi="ar"/>
              </w:rPr>
              <w:t>其中：（</w:t>
            </w:r>
            <w:r>
              <w:rPr>
                <w:rStyle w:val="10"/>
                <w:sz w:val="21"/>
                <w:szCs w:val="21"/>
                <w:lang w:bidi="ar"/>
              </w:rPr>
              <w:t>1</w:t>
            </w:r>
            <w:r>
              <w:rPr>
                <w:rStyle w:val="11"/>
                <w:rFonts w:hint="default"/>
                <w:sz w:val="21"/>
                <w:szCs w:val="21"/>
                <w:lang w:bidi="ar"/>
              </w:rPr>
              <w:t>）公务用车运行维护费</w:t>
            </w:r>
          </w:p>
        </w:tc>
        <w:tc>
          <w:tcPr>
            <w:tcW w:w="926" w:type="dxa"/>
            <w:tcBorders>
              <w:top w:val="nil"/>
              <w:left w:val="nil"/>
              <w:bottom w:val="single" w:color="auto" w:sz="4" w:space="0"/>
              <w:right w:val="single" w:color="auto" w:sz="4" w:space="0"/>
            </w:tcBorders>
            <w:vAlign w:val="center"/>
          </w:tcPr>
          <w:p>
            <w:pPr>
              <w:widowControl/>
              <w:jc w:val="center"/>
              <w:textAlignment w:val="bottom"/>
              <w:rPr>
                <w:rFonts w:ascii="华文细黑" w:hAnsi="华文细黑" w:eastAsia="华文细黑" w:cs="华文细黑"/>
                <w:color w:val="000000"/>
                <w:kern w:val="0"/>
              </w:rPr>
            </w:pPr>
            <w:r>
              <w:rPr>
                <w:rFonts w:hint="eastAsia" w:ascii="华文细黑" w:hAnsi="华文细黑" w:eastAsia="华文细黑" w:cs="华文细黑"/>
                <w:color w:val="000000"/>
                <w:kern w:val="0"/>
                <w:lang w:bidi="ar"/>
              </w:rPr>
              <w:t>12.38</w:t>
            </w:r>
          </w:p>
        </w:tc>
        <w:tc>
          <w:tcPr>
            <w:tcW w:w="1680" w:type="dxa"/>
            <w:tcBorders>
              <w:top w:val="nil"/>
              <w:left w:val="nil"/>
              <w:bottom w:val="single" w:color="auto" w:sz="4" w:space="0"/>
              <w:right w:val="single" w:color="auto" w:sz="4" w:space="0"/>
            </w:tcBorders>
            <w:vAlign w:val="center"/>
          </w:tcPr>
          <w:p>
            <w:pPr>
              <w:widowControl/>
              <w:jc w:val="center"/>
              <w:textAlignment w:val="bottom"/>
              <w:rPr>
                <w:rFonts w:ascii="Arial" w:hAnsi="Arial" w:cs="Arial"/>
                <w:color w:val="000000"/>
                <w:kern w:val="0"/>
              </w:rPr>
            </w:pPr>
            <w:r>
              <w:rPr>
                <w:rStyle w:val="12"/>
                <w:sz w:val="21"/>
                <w:szCs w:val="21"/>
                <w:lang w:bidi="ar"/>
              </w:rPr>
              <w:t>32%</w:t>
            </w:r>
          </w:p>
        </w:tc>
        <w:tc>
          <w:tcPr>
            <w:tcW w:w="2535" w:type="dxa"/>
            <w:tcBorders>
              <w:top w:val="nil"/>
              <w:left w:val="nil"/>
              <w:bottom w:val="single" w:color="auto" w:sz="4" w:space="0"/>
              <w:right w:val="single" w:color="auto" w:sz="4" w:space="0"/>
            </w:tcBorders>
            <w:vAlign w:val="center"/>
          </w:tcPr>
          <w:p>
            <w:pPr>
              <w:widowControl/>
              <w:jc w:val="center"/>
              <w:textAlignment w:val="bottom"/>
              <w:rPr>
                <w:rFonts w:ascii="宋体" w:cs="Times New Roman"/>
                <w:color w:val="000000"/>
                <w:kern w:val="0"/>
              </w:rPr>
            </w:pPr>
            <w:r>
              <w:rPr>
                <w:rFonts w:hint="eastAsia" w:ascii="Arial" w:hAnsi="Arial" w:cs="Arial"/>
                <w:color w:val="000000"/>
                <w:kern w:val="0"/>
              </w:rPr>
              <w:t>新增公务用车一台</w:t>
            </w:r>
          </w:p>
        </w:tc>
      </w:tr>
      <w:tr>
        <w:tblPrEx>
          <w:tblCellMar>
            <w:top w:w="0" w:type="dxa"/>
            <w:left w:w="108" w:type="dxa"/>
            <w:bottom w:w="0" w:type="dxa"/>
            <w:right w:w="108" w:type="dxa"/>
          </w:tblCellMar>
        </w:tblPrEx>
        <w:trPr>
          <w:trHeight w:val="762" w:hRule="atLeast"/>
        </w:trPr>
        <w:tc>
          <w:tcPr>
            <w:tcW w:w="3174" w:type="dxa"/>
            <w:tcBorders>
              <w:top w:val="nil"/>
              <w:left w:val="single" w:color="auto" w:sz="4" w:space="0"/>
              <w:bottom w:val="single" w:color="auto" w:sz="4" w:space="0"/>
              <w:right w:val="single" w:color="auto" w:sz="4" w:space="0"/>
            </w:tcBorders>
            <w:vAlign w:val="center"/>
          </w:tcPr>
          <w:p>
            <w:pPr>
              <w:widowControl/>
              <w:jc w:val="center"/>
              <w:textAlignment w:val="bottom"/>
              <w:rPr>
                <w:rFonts w:ascii="Times New Roman" w:hAnsi="Times New Roman" w:cs="Times New Roman"/>
                <w:color w:val="000000"/>
                <w:kern w:val="0"/>
              </w:rPr>
            </w:pPr>
            <w:r>
              <w:rPr>
                <w:rStyle w:val="11"/>
                <w:rFonts w:hint="default"/>
                <w:sz w:val="21"/>
                <w:szCs w:val="21"/>
                <w:lang w:bidi="ar"/>
              </w:rPr>
              <w:t>（</w:t>
            </w:r>
            <w:r>
              <w:rPr>
                <w:rStyle w:val="10"/>
                <w:sz w:val="21"/>
                <w:szCs w:val="21"/>
                <w:lang w:bidi="ar"/>
              </w:rPr>
              <w:t>2</w:t>
            </w:r>
            <w:r>
              <w:rPr>
                <w:rStyle w:val="11"/>
                <w:rFonts w:hint="default"/>
                <w:sz w:val="21"/>
                <w:szCs w:val="21"/>
                <w:lang w:bidi="ar"/>
              </w:rPr>
              <w:t>）公务用车购置费</w:t>
            </w:r>
          </w:p>
        </w:tc>
        <w:tc>
          <w:tcPr>
            <w:tcW w:w="926" w:type="dxa"/>
            <w:tcBorders>
              <w:top w:val="nil"/>
              <w:left w:val="nil"/>
              <w:bottom w:val="single" w:color="auto" w:sz="4" w:space="0"/>
              <w:right w:val="single" w:color="auto" w:sz="4" w:space="0"/>
            </w:tcBorders>
            <w:vAlign w:val="center"/>
          </w:tcPr>
          <w:p>
            <w:pPr>
              <w:jc w:val="center"/>
              <w:rPr>
                <w:rFonts w:ascii="华文细黑" w:hAnsi="华文细黑" w:eastAsia="华文细黑" w:cs="Times New Roman"/>
                <w:color w:val="000000"/>
                <w:kern w:val="0"/>
              </w:rPr>
            </w:pPr>
          </w:p>
        </w:tc>
        <w:tc>
          <w:tcPr>
            <w:tcW w:w="1680" w:type="dxa"/>
            <w:tcBorders>
              <w:top w:val="nil"/>
              <w:left w:val="nil"/>
              <w:bottom w:val="single" w:color="auto" w:sz="4" w:space="0"/>
              <w:right w:val="single" w:color="auto" w:sz="4" w:space="0"/>
            </w:tcBorders>
            <w:vAlign w:val="center"/>
          </w:tcPr>
          <w:p>
            <w:pPr>
              <w:jc w:val="center"/>
              <w:rPr>
                <w:rFonts w:ascii="Arial" w:hAnsi="Arial" w:cs="Arial"/>
                <w:color w:val="000000"/>
                <w:kern w:val="0"/>
              </w:rPr>
            </w:pPr>
          </w:p>
        </w:tc>
        <w:tc>
          <w:tcPr>
            <w:tcW w:w="2535" w:type="dxa"/>
            <w:tcBorders>
              <w:top w:val="nil"/>
              <w:left w:val="nil"/>
              <w:bottom w:val="single" w:color="auto" w:sz="4" w:space="0"/>
              <w:right w:val="single" w:color="auto" w:sz="4" w:space="0"/>
            </w:tcBorders>
            <w:vAlign w:val="center"/>
          </w:tcPr>
          <w:p>
            <w:pPr>
              <w:jc w:val="center"/>
              <w:rPr>
                <w:rFonts w:ascii="Arial" w:hAnsi="Arial" w:cs="Arial"/>
                <w:color w:val="000000"/>
                <w:kern w:val="0"/>
              </w:rPr>
            </w:pPr>
          </w:p>
        </w:tc>
      </w:tr>
      <w:tr>
        <w:tblPrEx>
          <w:tblCellMar>
            <w:top w:w="0" w:type="dxa"/>
            <w:left w:w="108" w:type="dxa"/>
            <w:bottom w:w="0" w:type="dxa"/>
            <w:right w:w="108" w:type="dxa"/>
          </w:tblCellMar>
        </w:tblPrEx>
        <w:trPr>
          <w:trHeight w:val="559" w:hRule="atLeast"/>
        </w:trPr>
        <w:tc>
          <w:tcPr>
            <w:tcW w:w="4100" w:type="dxa"/>
            <w:gridSpan w:val="2"/>
            <w:tcBorders>
              <w:top w:val="nil"/>
              <w:left w:val="nil"/>
              <w:bottom w:val="nil"/>
              <w:right w:val="single" w:color="000000" w:sz="4" w:space="0"/>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说明：</w:t>
            </w:r>
          </w:p>
        </w:tc>
        <w:tc>
          <w:tcPr>
            <w:tcW w:w="16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w:t>
            </w:r>
            <w:r>
              <w:rPr>
                <w:rFonts w:hint="eastAsia" w:ascii="Times New Roman" w:hAnsi="Times New Roman" w:cs="Times New Roman"/>
                <w:color w:val="000000"/>
                <w:kern w:val="0"/>
                <w:sz w:val="18"/>
                <w:szCs w:val="18"/>
                <w:u w:val="single"/>
              </w:rPr>
              <w:t>1</w:t>
            </w:r>
            <w:r>
              <w:rPr>
                <w:rFonts w:hint="eastAsia" w:ascii="宋体" w:hAnsi="宋体" w:cs="宋体"/>
                <w:color w:val="000000"/>
                <w:kern w:val="0"/>
                <w:sz w:val="18"/>
                <w:szCs w:val="18"/>
              </w:rPr>
              <w:t>个预算单位。</w:t>
            </w:r>
            <w:r>
              <w:rPr>
                <w:rFonts w:ascii="Times New Roman" w:hAnsi="Times New Roman" w:cs="Times New Roman"/>
                <w:color w:val="000000"/>
                <w:kern w:val="0"/>
                <w:sz w:val="18"/>
                <w:szCs w:val="18"/>
              </w:rPr>
              <w:t xml:space="preserve">   </w:t>
            </w:r>
          </w:p>
        </w:tc>
      </w:tr>
      <w:tr>
        <w:tblPrEx>
          <w:tblCellMar>
            <w:top w:w="0" w:type="dxa"/>
            <w:left w:w="108" w:type="dxa"/>
            <w:bottom w:w="0" w:type="dxa"/>
            <w:right w:w="108" w:type="dxa"/>
          </w:tblCellMar>
        </w:tblPrEx>
        <w:trPr>
          <w:trHeight w:val="559" w:hRule="atLeast"/>
        </w:trPr>
        <w:tc>
          <w:tcPr>
            <w:tcW w:w="8315" w:type="dxa"/>
            <w:gridSpan w:val="4"/>
            <w:tcBorders>
              <w:top w:val="nil"/>
              <w:left w:val="nil"/>
              <w:bottom w:val="nil"/>
              <w:right w:val="nil"/>
            </w:tcBorders>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hint="eastAsia" w:ascii="宋体" w:hAnsi="宋体" w:cs="宋体"/>
                <w:color w:val="000000"/>
                <w:kern w:val="0"/>
                <w:sz w:val="18"/>
                <w:szCs w:val="18"/>
              </w:rPr>
              <w:t>、</w:t>
            </w:r>
            <w:r>
              <w:rPr>
                <w:rFonts w:ascii="Times New Roman" w:hAnsi="Times New Roman" w:cs="Times New Roman"/>
                <w:color w:val="000000"/>
                <w:kern w:val="0"/>
                <w:sz w:val="18"/>
                <w:szCs w:val="18"/>
              </w:rPr>
              <w:t>“</w:t>
            </w:r>
            <w:r>
              <w:rPr>
                <w:rFonts w:hint="eastAsia" w:ascii="宋体" w:hAnsi="宋体" w:cs="宋体"/>
                <w:color w:val="000000"/>
                <w:kern w:val="0"/>
                <w:sz w:val="18"/>
                <w:szCs w:val="18"/>
              </w:rPr>
              <w:t>本年预算数</w:t>
            </w:r>
            <w:r>
              <w:rPr>
                <w:rFonts w:ascii="Times New Roman" w:hAnsi="Times New Roman" w:cs="Times New Roman"/>
                <w:color w:val="000000"/>
                <w:kern w:val="0"/>
                <w:sz w:val="18"/>
                <w:szCs w:val="18"/>
              </w:rPr>
              <w:t>”</w:t>
            </w:r>
            <w:r>
              <w:rPr>
                <w:rFonts w:hint="eastAsia" w:ascii="宋体" w:hAnsi="宋体" w:cs="宋体"/>
                <w:color w:val="000000"/>
                <w:kern w:val="0"/>
                <w:sz w:val="18"/>
                <w:szCs w:val="18"/>
              </w:rPr>
              <w:t>的实有人员</w:t>
            </w:r>
            <w:r>
              <w:rPr>
                <w:rFonts w:ascii="Times New Roman" w:hAnsi="Times New Roman" w:cs="Times New Roman"/>
                <w:color w:val="000000"/>
                <w:kern w:val="0"/>
                <w:sz w:val="18"/>
                <w:szCs w:val="18"/>
              </w:rPr>
              <w:t xml:space="preserve"> </w:t>
            </w:r>
            <w:r>
              <w:rPr>
                <w:rFonts w:hint="eastAsia" w:ascii="Times New Roman" w:hAnsi="Times New Roman" w:cs="Times New Roman"/>
                <w:color w:val="000000"/>
                <w:kern w:val="0"/>
                <w:sz w:val="18"/>
                <w:szCs w:val="18"/>
              </w:rPr>
              <w:t>2</w:t>
            </w:r>
            <w:r>
              <w:rPr>
                <w:rFonts w:ascii="Times New Roman" w:hAnsi="Times New Roman" w:cs="Times New Roman"/>
                <w:color w:val="000000"/>
                <w:kern w:val="0"/>
                <w:sz w:val="18"/>
                <w:szCs w:val="18"/>
              </w:rPr>
              <w:t>0</w:t>
            </w:r>
            <w:r>
              <w:rPr>
                <w:rFonts w:hint="eastAsia" w:ascii="宋体" w:hAnsi="宋体" w:cs="宋体"/>
                <w:color w:val="000000"/>
                <w:kern w:val="0"/>
                <w:sz w:val="18"/>
                <w:szCs w:val="18"/>
              </w:rPr>
              <w:t>人，其中：在职人员</w:t>
            </w:r>
            <w:r>
              <w:rPr>
                <w:rFonts w:ascii="Times New Roman" w:hAnsi="Times New Roman" w:cs="Times New Roman"/>
                <w:color w:val="000000"/>
                <w:kern w:val="0"/>
                <w:sz w:val="18"/>
                <w:szCs w:val="18"/>
              </w:rPr>
              <w:t xml:space="preserve"> 17</w:t>
            </w:r>
            <w:r>
              <w:rPr>
                <w:rFonts w:hint="eastAsia" w:ascii="宋体" w:hAnsi="宋体" w:cs="宋体"/>
                <w:color w:val="000000"/>
                <w:kern w:val="0"/>
                <w:sz w:val="18"/>
                <w:szCs w:val="18"/>
              </w:rPr>
              <w:t>人，离退休人员</w:t>
            </w:r>
            <w:r>
              <w:rPr>
                <w:rFonts w:hint="eastAsia" w:ascii="Times New Roman" w:hAnsi="Times New Roman" w:cs="Times New Roman"/>
                <w:color w:val="000000"/>
                <w:kern w:val="0"/>
                <w:sz w:val="18"/>
                <w:szCs w:val="18"/>
              </w:rPr>
              <w:t>3</w:t>
            </w:r>
            <w:r>
              <w:rPr>
                <w:rFonts w:hint="eastAsia" w:ascii="宋体" w:hAnsi="宋体" w:cs="宋体"/>
                <w:color w:val="000000"/>
                <w:kern w:val="0"/>
                <w:sz w:val="18"/>
                <w:szCs w:val="18"/>
              </w:rPr>
              <w:t>人。</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w:t>
      </w:r>
      <w:r>
        <w:rPr>
          <w:rFonts w:hint="eastAsia" w:ascii="宋体" w:hAnsi="宋体" w:cs="宋体"/>
          <w:color w:val="3E3E3E"/>
          <w:kern w:val="0"/>
          <w:sz w:val="32"/>
          <w:szCs w:val="32"/>
        </w:rPr>
        <w:t>2023年预算基金支出表</w:t>
      </w:r>
      <w:r>
        <w:rPr>
          <w:rFonts w:hint="eastAsia" w:ascii="宋体" w:hAnsi="宋体" w:cs="宋体"/>
          <w:color w:val="3E3E3E"/>
          <w:kern w:val="0"/>
          <w:sz w:val="32"/>
          <w:szCs w:val="32"/>
        </w:rPr>
        <w:fldChar w:fldCharType="end"/>
      </w:r>
    </w:p>
    <w:tbl>
      <w:tblPr>
        <w:tblStyle w:val="6"/>
        <w:tblW w:w="8630" w:type="dxa"/>
        <w:tblInd w:w="-106" w:type="dxa"/>
        <w:tblLayout w:type="fixed"/>
        <w:tblCellMar>
          <w:top w:w="0" w:type="dxa"/>
          <w:left w:w="108" w:type="dxa"/>
          <w:bottom w:w="0" w:type="dxa"/>
          <w:right w:w="108" w:type="dxa"/>
        </w:tblCellMar>
      </w:tblPr>
      <w:tblGrid>
        <w:gridCol w:w="1720"/>
        <w:gridCol w:w="2670"/>
        <w:gridCol w:w="1400"/>
        <w:gridCol w:w="1480"/>
        <w:gridCol w:w="1360"/>
      </w:tblGrid>
      <w:tr>
        <w:tblPrEx>
          <w:tblCellMar>
            <w:top w:w="0" w:type="dxa"/>
            <w:left w:w="108" w:type="dxa"/>
            <w:bottom w:w="0" w:type="dxa"/>
            <w:right w:w="108" w:type="dxa"/>
          </w:tblCellMar>
        </w:tblPrEx>
        <w:trPr>
          <w:trHeight w:val="420" w:hRule="atLeast"/>
        </w:trPr>
        <w:tc>
          <w:tcPr>
            <w:tcW w:w="172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8630" w:type="dxa"/>
            <w:gridSpan w:val="5"/>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政府性基金预算支出表</w:t>
            </w:r>
          </w:p>
        </w:tc>
      </w:tr>
      <w:tr>
        <w:tblPrEx>
          <w:tblCellMar>
            <w:top w:w="0" w:type="dxa"/>
            <w:left w:w="108" w:type="dxa"/>
            <w:bottom w:w="0" w:type="dxa"/>
            <w:right w:w="108" w:type="dxa"/>
          </w:tblCellMar>
        </w:tblPrEx>
        <w:trPr>
          <w:trHeight w:val="195" w:hRule="atLeast"/>
        </w:trPr>
        <w:tc>
          <w:tcPr>
            <w:tcW w:w="1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20" w:hRule="atLeast"/>
        </w:trPr>
        <w:tc>
          <w:tcPr>
            <w:tcW w:w="4390" w:type="dxa"/>
            <w:gridSpan w:val="2"/>
            <w:tcBorders>
              <w:top w:val="nil"/>
              <w:left w:val="nil"/>
              <w:bottom w:val="single" w:color="auto" w:sz="4" w:space="0"/>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部门（单位）名称：中国共产党长春市二道区委员会办公室</w:t>
            </w:r>
          </w:p>
        </w:tc>
        <w:tc>
          <w:tcPr>
            <w:tcW w:w="140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480" w:type="dxa"/>
            <w:tcBorders>
              <w:top w:val="nil"/>
              <w:left w:val="nil"/>
              <w:bottom w:val="nil"/>
              <w:right w:val="nil"/>
            </w:tcBorders>
            <w:vAlign w:val="bottom"/>
          </w:tcPr>
          <w:p>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99"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科目编码</w:t>
            </w:r>
          </w:p>
        </w:tc>
        <w:tc>
          <w:tcPr>
            <w:tcW w:w="26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4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本年政府性基金预算财政拨款支出</w:t>
            </w:r>
          </w:p>
        </w:tc>
      </w:tr>
      <w:tr>
        <w:tblPrEx>
          <w:tblCellMar>
            <w:top w:w="0" w:type="dxa"/>
            <w:left w:w="108" w:type="dxa"/>
            <w:bottom w:w="0" w:type="dxa"/>
            <w:right w:w="108" w:type="dxa"/>
          </w:tblCellMar>
        </w:tblPrEx>
        <w:trPr>
          <w:trHeight w:val="499"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26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合计</w:t>
            </w:r>
          </w:p>
        </w:tc>
        <w:tc>
          <w:tcPr>
            <w:tcW w:w="148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267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5"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267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48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Times New Roman"/>
                <w:color w:val="000000"/>
                <w:kern w:val="0"/>
                <w:sz w:val="22"/>
                <w:szCs w:val="22"/>
              </w:rPr>
            </w:pPr>
          </w:p>
        </w:tc>
      </w:tr>
    </w:tbl>
    <w:p>
      <w:pPr>
        <w:spacing w:before="100" w:after="100" w:line="360" w:lineRule="auto"/>
        <w:jc w:val="left"/>
        <w:rPr>
          <w:rFonts w:ascii="宋体" w:cs="Times New Roman"/>
          <w:color w:val="3E3E3E"/>
          <w:kern w:val="0"/>
          <w:sz w:val="32"/>
          <w:szCs w:val="32"/>
        </w:rPr>
      </w:pPr>
      <w:r>
        <w:rPr>
          <w:rFonts w:hint="eastAsia" w:ascii="仿宋_GB2312" w:eastAsia="仿宋_GB2312" w:cs="宋体"/>
          <w:sz w:val="32"/>
        </w:rPr>
        <w:t>注：区委办无政府性基金预算支出表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w:t>
      </w:r>
      <w:r>
        <w:rPr>
          <w:rFonts w:hint="eastAsia" w:ascii="宋体" w:hAnsi="宋体" w:cs="宋体"/>
          <w:color w:val="3E3E3E"/>
          <w:kern w:val="0"/>
          <w:sz w:val="32"/>
          <w:szCs w:val="32"/>
        </w:rPr>
        <w:t>2023年预算部门收支总表</w:t>
      </w:r>
      <w:r>
        <w:rPr>
          <w:rFonts w:hint="eastAsia" w:ascii="宋体" w:hAnsi="宋体" w:cs="宋体"/>
          <w:color w:val="3E3E3E"/>
          <w:kern w:val="0"/>
          <w:sz w:val="32"/>
          <w:szCs w:val="32"/>
        </w:rPr>
        <w:fldChar w:fldCharType="end"/>
      </w:r>
    </w:p>
    <w:tbl>
      <w:tblPr>
        <w:tblStyle w:val="6"/>
        <w:tblW w:w="8379" w:type="dxa"/>
        <w:tblInd w:w="-106" w:type="dxa"/>
        <w:tblLayout w:type="fixed"/>
        <w:tblCellMar>
          <w:top w:w="0" w:type="dxa"/>
          <w:left w:w="108" w:type="dxa"/>
          <w:bottom w:w="0" w:type="dxa"/>
          <w:right w:w="108" w:type="dxa"/>
        </w:tblCellMar>
      </w:tblPr>
      <w:tblGrid>
        <w:gridCol w:w="2380"/>
        <w:gridCol w:w="187"/>
        <w:gridCol w:w="953"/>
        <w:gridCol w:w="464"/>
        <w:gridCol w:w="2016"/>
        <w:gridCol w:w="819"/>
        <w:gridCol w:w="1560"/>
      </w:tblGrid>
      <w:tr>
        <w:tblPrEx>
          <w:tblCellMar>
            <w:top w:w="0" w:type="dxa"/>
            <w:left w:w="108" w:type="dxa"/>
            <w:bottom w:w="0" w:type="dxa"/>
            <w:right w:w="108" w:type="dxa"/>
          </w:tblCellMar>
        </w:tblPrEx>
        <w:trPr>
          <w:trHeight w:val="559" w:hRule="atLeast"/>
        </w:trPr>
        <w:tc>
          <w:tcPr>
            <w:tcW w:w="2380" w:type="dxa"/>
            <w:tcBorders>
              <w:top w:val="nil"/>
              <w:left w:val="nil"/>
              <w:bottom w:val="nil"/>
              <w:right w:val="nil"/>
            </w:tcBorders>
            <w:vAlign w:val="bottom"/>
          </w:tcPr>
          <w:p>
            <w:pPr>
              <w:widowControl/>
              <w:jc w:val="left"/>
              <w:rPr>
                <w:rFonts w:ascii="宋体" w:cs="Times New Roman"/>
                <w:color w:val="000000"/>
                <w:kern w:val="0"/>
                <w:sz w:val="20"/>
                <w:szCs w:val="20"/>
              </w:rPr>
            </w:pPr>
            <w:r>
              <w:rPr>
                <w:rFonts w:hint="eastAsia" w:ascii="宋体" w:hAnsi="宋体" w:cs="宋体"/>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59" w:hRule="atLeast"/>
        </w:trPr>
        <w:tc>
          <w:tcPr>
            <w:tcW w:w="8379" w:type="dxa"/>
            <w:gridSpan w:val="7"/>
            <w:tcBorders>
              <w:top w:val="nil"/>
              <w:left w:val="nil"/>
              <w:bottom w:val="nil"/>
              <w:right w:val="nil"/>
            </w:tcBorders>
            <w:vAlign w:val="bottom"/>
          </w:tcPr>
          <w:p>
            <w:pPr>
              <w:widowControl/>
              <w:jc w:val="center"/>
              <w:rPr>
                <w:rFonts w:ascii="宋体" w:cs="Times New Roman"/>
                <w:b/>
                <w:bCs/>
                <w:color w:val="000000"/>
                <w:kern w:val="0"/>
                <w:sz w:val="36"/>
                <w:szCs w:val="36"/>
              </w:rPr>
            </w:pPr>
            <w:r>
              <w:rPr>
                <w:rFonts w:hint="eastAsia" w:ascii="宋体" w:hAnsi="宋体" w:cs="宋体"/>
                <w:b/>
                <w:bCs/>
                <w:color w:val="000000"/>
                <w:kern w:val="0"/>
                <w:sz w:val="36"/>
                <w:szCs w:val="36"/>
              </w:rPr>
              <w:t>部门收支总表</w:t>
            </w:r>
          </w:p>
        </w:tc>
      </w:tr>
      <w:tr>
        <w:tblPrEx>
          <w:tblCellMar>
            <w:top w:w="0" w:type="dxa"/>
            <w:left w:w="108" w:type="dxa"/>
            <w:bottom w:w="0" w:type="dxa"/>
            <w:right w:w="108" w:type="dxa"/>
          </w:tblCellMar>
        </w:tblPrEx>
        <w:trPr>
          <w:trHeight w:val="559" w:hRule="atLeast"/>
        </w:trPr>
        <w:tc>
          <w:tcPr>
            <w:tcW w:w="6000" w:type="dxa"/>
            <w:gridSpan w:val="5"/>
            <w:tcBorders>
              <w:top w:val="nil"/>
              <w:left w:val="nil"/>
              <w:bottom w:val="nil"/>
              <w:right w:val="nil"/>
            </w:tcBorders>
            <w:vAlign w:val="bottom"/>
          </w:tcPr>
          <w:p>
            <w:pPr>
              <w:widowControl/>
              <w:jc w:val="left"/>
              <w:rPr>
                <w:rFonts w:ascii="宋体" w:cs="Times New Roman"/>
                <w:color w:val="000000"/>
                <w:kern w:val="0"/>
                <w:sz w:val="18"/>
                <w:szCs w:val="18"/>
              </w:rPr>
            </w:pPr>
            <w:r>
              <w:rPr>
                <w:rFonts w:hint="eastAsia" w:ascii="宋体" w:hAnsi="宋体" w:cs="宋体"/>
                <w:color w:val="000000"/>
                <w:kern w:val="0"/>
                <w:sz w:val="18"/>
                <w:szCs w:val="18"/>
              </w:rPr>
              <w:t>部门（单位）名称：中国共产党长春市二道区委员会办公室</w:t>
            </w:r>
          </w:p>
        </w:tc>
        <w:tc>
          <w:tcPr>
            <w:tcW w:w="2379" w:type="dxa"/>
            <w:gridSpan w:val="2"/>
            <w:tcBorders>
              <w:top w:val="nil"/>
              <w:left w:val="nil"/>
              <w:bottom w:val="nil"/>
              <w:right w:val="nil"/>
            </w:tcBorders>
            <w:vAlign w:val="bottom"/>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559" w:hRule="atLeast"/>
        </w:trPr>
        <w:tc>
          <w:tcPr>
            <w:tcW w:w="398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入</w:t>
            </w:r>
          </w:p>
        </w:tc>
        <w:tc>
          <w:tcPr>
            <w:tcW w:w="4395" w:type="dxa"/>
            <w:gridSpan w:val="3"/>
            <w:tcBorders>
              <w:top w:val="single" w:color="auto" w:sz="4" w:space="0"/>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Times New Roman" w:hAnsi="Times New Roman" w:cs="Times New Roman"/>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417"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c>
          <w:tcPr>
            <w:tcW w:w="2835" w:type="dxa"/>
            <w:gridSpan w:val="2"/>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项目</w:t>
            </w:r>
          </w:p>
        </w:tc>
        <w:tc>
          <w:tcPr>
            <w:tcW w:w="1560" w:type="dxa"/>
            <w:tcBorders>
              <w:top w:val="nil"/>
              <w:left w:val="nil"/>
              <w:bottom w:val="single" w:color="auto" w:sz="4" w:space="0"/>
              <w:right w:val="single" w:color="auto" w:sz="4" w:space="0"/>
            </w:tcBorders>
            <w:vAlign w:val="bottom"/>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预算数</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18"/>
                <w:szCs w:val="18"/>
              </w:rPr>
            </w:pPr>
            <w:r>
              <w:rPr>
                <w:rFonts w:hint="eastAsia" w:ascii="宋体" w:hAnsi="宋体" w:cs="宋体"/>
                <w:color w:val="000000"/>
                <w:kern w:val="0"/>
                <w:sz w:val="22"/>
                <w:szCs w:val="22"/>
                <w:lang w:bidi="ar"/>
              </w:rPr>
              <w:t>一、一般公共预算财政拨款</w:t>
            </w:r>
          </w:p>
        </w:tc>
        <w:tc>
          <w:tcPr>
            <w:tcW w:w="1417" w:type="dxa"/>
            <w:gridSpan w:val="2"/>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18"/>
                <w:szCs w:val="18"/>
              </w:rPr>
            </w:pPr>
            <w:r>
              <w:rPr>
                <w:rFonts w:hint="eastAsia" w:ascii="宋体" w:hAnsi="宋体" w:cs="宋体"/>
                <w:color w:val="000000"/>
                <w:kern w:val="0"/>
                <w:sz w:val="22"/>
                <w:szCs w:val="22"/>
                <w:lang w:bidi="ar"/>
              </w:rPr>
              <w:t>458.51</w:t>
            </w:r>
          </w:p>
        </w:tc>
        <w:tc>
          <w:tcPr>
            <w:tcW w:w="2835" w:type="dxa"/>
            <w:gridSpan w:val="2"/>
            <w:tcBorders>
              <w:top w:val="nil"/>
              <w:left w:val="nil"/>
              <w:bottom w:val="single" w:color="auto" w:sz="4" w:space="0"/>
              <w:right w:val="single" w:color="auto" w:sz="4" w:space="0"/>
            </w:tcBorders>
            <w:vAlign w:val="bottom"/>
          </w:tcPr>
          <w:p>
            <w:pPr>
              <w:widowControl/>
              <w:jc w:val="left"/>
              <w:textAlignment w:val="bottom"/>
              <w:rPr>
                <w:rFonts w:ascii="宋体" w:cs="Times New Roman"/>
                <w:color w:val="000000"/>
                <w:kern w:val="0"/>
                <w:sz w:val="18"/>
                <w:szCs w:val="18"/>
              </w:rPr>
            </w:pPr>
            <w:r>
              <w:rPr>
                <w:rFonts w:hint="eastAsia" w:ascii="宋体" w:hAnsi="宋体" w:cs="宋体"/>
                <w:color w:val="000000"/>
                <w:kern w:val="0"/>
                <w:sz w:val="22"/>
                <w:szCs w:val="22"/>
                <w:lang w:bidi="ar"/>
              </w:rPr>
              <w:t>一、一般公共服务</w:t>
            </w:r>
          </w:p>
        </w:tc>
        <w:tc>
          <w:tcPr>
            <w:tcW w:w="1560" w:type="dxa"/>
            <w:tcBorders>
              <w:top w:val="nil"/>
              <w:left w:val="nil"/>
              <w:bottom w:val="single" w:color="auto" w:sz="4" w:space="0"/>
              <w:right w:val="single" w:color="auto" w:sz="4" w:space="0"/>
            </w:tcBorders>
            <w:vAlign w:val="center"/>
          </w:tcPr>
          <w:p>
            <w:pPr>
              <w:widowControl/>
              <w:jc w:val="right"/>
              <w:textAlignment w:val="center"/>
              <w:rPr>
                <w:rFonts w:ascii="宋体" w:cs="Times New Roman"/>
                <w:color w:val="000000"/>
                <w:kern w:val="0"/>
                <w:sz w:val="18"/>
                <w:szCs w:val="18"/>
              </w:rPr>
            </w:pPr>
            <w:r>
              <w:rPr>
                <w:rFonts w:hint="eastAsia" w:ascii="宋体" w:hAnsi="宋体" w:cs="宋体"/>
                <w:color w:val="000000"/>
                <w:kern w:val="0"/>
                <w:sz w:val="22"/>
                <w:szCs w:val="22"/>
                <w:lang w:bidi="ar"/>
              </w:rPr>
              <w:t>458.51</w:t>
            </w: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cs="Times New Roman"/>
                <w:color w:val="000000"/>
                <w:kern w:val="0"/>
                <w:sz w:val="18"/>
                <w:szCs w:val="18"/>
              </w:rPr>
            </w:pPr>
            <w:r>
              <w:rPr>
                <w:rFonts w:hint="eastAsia" w:ascii="宋体" w:hAnsi="宋体" w:cs="宋体"/>
                <w:color w:val="000000"/>
                <w:kern w:val="0"/>
                <w:sz w:val="22"/>
                <w:szCs w:val="22"/>
                <w:lang w:bidi="ar"/>
              </w:rPr>
              <w:t>二、政府性基金预算财政拨款</w:t>
            </w:r>
          </w:p>
        </w:tc>
        <w:tc>
          <w:tcPr>
            <w:tcW w:w="1417" w:type="dxa"/>
            <w:gridSpan w:val="2"/>
            <w:tcBorders>
              <w:top w:val="nil"/>
              <w:left w:val="nil"/>
              <w:bottom w:val="single" w:color="auto" w:sz="4" w:space="0"/>
              <w:right w:val="single" w:color="auto" w:sz="4" w:space="0"/>
            </w:tcBorders>
            <w:vAlign w:val="bottom"/>
          </w:tcPr>
          <w:p>
            <w:pPr>
              <w:jc w:val="right"/>
              <w:rPr>
                <w:rFonts w:ascii="宋体" w:cs="Times New Roman"/>
                <w:color w:val="000000"/>
                <w:kern w:val="0"/>
                <w:sz w:val="18"/>
                <w:szCs w:val="18"/>
              </w:rPr>
            </w:pPr>
          </w:p>
        </w:tc>
        <w:tc>
          <w:tcPr>
            <w:tcW w:w="2835" w:type="dxa"/>
            <w:gridSpan w:val="2"/>
            <w:tcBorders>
              <w:top w:val="nil"/>
              <w:left w:val="nil"/>
              <w:bottom w:val="single" w:color="auto" w:sz="4" w:space="0"/>
              <w:right w:val="single" w:color="auto" w:sz="4" w:space="0"/>
            </w:tcBorders>
            <w:vAlign w:val="bottom"/>
          </w:tcPr>
          <w:p>
            <w:pPr>
              <w:widowControl/>
              <w:jc w:val="left"/>
              <w:textAlignment w:val="bottom"/>
              <w:rPr>
                <w:rFonts w:ascii="宋体" w:cs="Times New Roman"/>
                <w:color w:val="000000"/>
                <w:kern w:val="0"/>
                <w:sz w:val="18"/>
                <w:szCs w:val="18"/>
              </w:rPr>
            </w:pPr>
            <w:r>
              <w:rPr>
                <w:rFonts w:hint="eastAsia" w:ascii="宋体" w:hAnsi="宋体" w:cs="宋体"/>
                <w:color w:val="000000"/>
                <w:kern w:val="0"/>
                <w:sz w:val="22"/>
                <w:szCs w:val="22"/>
                <w:lang w:bidi="ar"/>
              </w:rPr>
              <w:t>二、外交支出</w:t>
            </w:r>
          </w:p>
        </w:tc>
        <w:tc>
          <w:tcPr>
            <w:tcW w:w="1560" w:type="dxa"/>
            <w:tcBorders>
              <w:top w:val="nil"/>
              <w:left w:val="nil"/>
              <w:bottom w:val="single" w:color="auto" w:sz="4" w:space="0"/>
              <w:right w:val="single" w:color="auto" w:sz="4" w:space="0"/>
            </w:tcBorders>
            <w:vAlign w:val="bottom"/>
          </w:tcPr>
          <w:p>
            <w:pPr>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jc w:val="left"/>
              <w:rPr>
                <w:rFonts w:ascii="宋体" w:cs="Times New Roman"/>
                <w:color w:val="000000"/>
                <w:kern w:val="0"/>
                <w:sz w:val="18"/>
                <w:szCs w:val="18"/>
              </w:rPr>
            </w:pPr>
          </w:p>
        </w:tc>
        <w:tc>
          <w:tcPr>
            <w:tcW w:w="1417" w:type="dxa"/>
            <w:gridSpan w:val="2"/>
            <w:tcBorders>
              <w:top w:val="nil"/>
              <w:left w:val="nil"/>
              <w:bottom w:val="single" w:color="auto" w:sz="4" w:space="0"/>
              <w:right w:val="single" w:color="auto" w:sz="4" w:space="0"/>
            </w:tcBorders>
            <w:vAlign w:val="bottom"/>
          </w:tcPr>
          <w:p>
            <w:pPr>
              <w:jc w:val="left"/>
              <w:rPr>
                <w:rFonts w:ascii="宋体" w:cs="Times New Roman"/>
                <w:color w:val="000000"/>
                <w:kern w:val="0"/>
                <w:sz w:val="18"/>
                <w:szCs w:val="18"/>
              </w:rPr>
            </w:pPr>
          </w:p>
        </w:tc>
        <w:tc>
          <w:tcPr>
            <w:tcW w:w="2835" w:type="dxa"/>
            <w:gridSpan w:val="2"/>
            <w:tcBorders>
              <w:top w:val="nil"/>
              <w:left w:val="nil"/>
              <w:bottom w:val="nil"/>
              <w:right w:val="nil"/>
            </w:tcBorders>
            <w:vAlign w:val="bottom"/>
          </w:tcPr>
          <w:p>
            <w:pPr>
              <w:rPr>
                <w:rFonts w:ascii="Arial" w:hAnsi="Arial" w:cs="Arial"/>
                <w:color w:val="000000"/>
                <w:kern w:val="0"/>
                <w:sz w:val="18"/>
                <w:szCs w:val="18"/>
              </w:rPr>
            </w:pPr>
          </w:p>
        </w:tc>
        <w:tc>
          <w:tcPr>
            <w:tcW w:w="1560" w:type="dxa"/>
            <w:tcBorders>
              <w:top w:val="nil"/>
              <w:left w:val="single" w:color="auto" w:sz="4" w:space="0"/>
              <w:bottom w:val="single" w:color="auto" w:sz="4" w:space="0"/>
              <w:right w:val="single" w:color="auto" w:sz="4" w:space="0"/>
            </w:tcBorders>
            <w:vAlign w:val="bottom"/>
          </w:tcPr>
          <w:p>
            <w:pPr>
              <w:jc w:val="left"/>
              <w:rPr>
                <w:rFonts w:ascii="宋体" w:cs="Times New Roman"/>
                <w:color w:val="000000"/>
                <w:kern w:val="0"/>
                <w:sz w:val="18"/>
                <w:szCs w:val="18"/>
              </w:rPr>
            </w:pPr>
          </w:p>
        </w:tc>
      </w:tr>
      <w:tr>
        <w:tblPrEx>
          <w:tblCellMar>
            <w:top w:w="0" w:type="dxa"/>
            <w:left w:w="108" w:type="dxa"/>
            <w:bottom w:w="0" w:type="dxa"/>
            <w:right w:w="108" w:type="dxa"/>
          </w:tblCellMar>
        </w:tblPrEx>
        <w:trPr>
          <w:trHeight w:val="559" w:hRule="atLeast"/>
        </w:trPr>
        <w:tc>
          <w:tcPr>
            <w:tcW w:w="2567" w:type="dxa"/>
            <w:gridSpan w:val="2"/>
            <w:tcBorders>
              <w:top w:val="nil"/>
              <w:left w:val="single" w:color="auto" w:sz="4" w:space="0"/>
              <w:bottom w:val="single" w:color="auto" w:sz="4" w:space="0"/>
              <w:right w:val="single" w:color="auto" w:sz="4" w:space="0"/>
            </w:tcBorders>
            <w:vAlign w:val="bottom"/>
          </w:tcPr>
          <w:p>
            <w:pPr>
              <w:widowControl/>
              <w:jc w:val="center"/>
              <w:textAlignment w:val="bottom"/>
              <w:rPr>
                <w:rFonts w:ascii="宋体" w:cs="Times New Roman"/>
                <w:b/>
                <w:bCs/>
                <w:color w:val="000000"/>
                <w:kern w:val="0"/>
                <w:sz w:val="18"/>
                <w:szCs w:val="18"/>
              </w:rPr>
            </w:pPr>
            <w:r>
              <w:rPr>
                <w:rFonts w:hint="eastAsia" w:ascii="宋体" w:hAnsi="宋体" w:cs="宋体"/>
                <w:b/>
                <w:color w:val="000000"/>
                <w:kern w:val="0"/>
                <w:sz w:val="22"/>
                <w:szCs w:val="22"/>
                <w:lang w:bidi="ar"/>
              </w:rPr>
              <w:t>本年收入合计</w:t>
            </w:r>
          </w:p>
        </w:tc>
        <w:tc>
          <w:tcPr>
            <w:tcW w:w="1417" w:type="dxa"/>
            <w:gridSpan w:val="2"/>
            <w:tcBorders>
              <w:top w:val="nil"/>
              <w:left w:val="nil"/>
              <w:bottom w:val="single" w:color="auto" w:sz="4" w:space="0"/>
              <w:right w:val="single" w:color="auto" w:sz="4" w:space="0"/>
            </w:tcBorders>
            <w:vAlign w:val="center"/>
          </w:tcPr>
          <w:p>
            <w:pPr>
              <w:widowControl/>
              <w:jc w:val="right"/>
              <w:textAlignment w:val="center"/>
              <w:rPr>
                <w:rFonts w:ascii="宋体" w:cs="Times New Roman"/>
                <w:b/>
                <w:bCs/>
                <w:color w:val="000000"/>
                <w:kern w:val="0"/>
                <w:sz w:val="18"/>
                <w:szCs w:val="18"/>
              </w:rPr>
            </w:pPr>
            <w:r>
              <w:rPr>
                <w:rFonts w:hint="eastAsia" w:ascii="宋体" w:hAnsi="宋体" w:cs="宋体"/>
                <w:color w:val="000000"/>
                <w:kern w:val="0"/>
                <w:sz w:val="22"/>
                <w:szCs w:val="22"/>
                <w:lang w:bidi="ar"/>
              </w:rPr>
              <w:t>458.51</w:t>
            </w:r>
          </w:p>
        </w:tc>
        <w:tc>
          <w:tcPr>
            <w:tcW w:w="2835" w:type="dxa"/>
            <w:gridSpan w:val="2"/>
            <w:tcBorders>
              <w:top w:val="single" w:color="auto" w:sz="4" w:space="0"/>
              <w:left w:val="nil"/>
              <w:bottom w:val="single" w:color="auto" w:sz="4" w:space="0"/>
              <w:right w:val="single" w:color="auto" w:sz="4" w:space="0"/>
            </w:tcBorders>
            <w:vAlign w:val="bottom"/>
          </w:tcPr>
          <w:p>
            <w:pPr>
              <w:widowControl/>
              <w:jc w:val="center"/>
              <w:textAlignment w:val="bottom"/>
              <w:rPr>
                <w:rFonts w:ascii="宋体" w:cs="Times New Roman"/>
                <w:b/>
                <w:bCs/>
                <w:color w:val="000000"/>
                <w:kern w:val="0"/>
                <w:sz w:val="18"/>
                <w:szCs w:val="18"/>
              </w:rPr>
            </w:pPr>
            <w:r>
              <w:rPr>
                <w:rFonts w:hint="eastAsia" w:ascii="宋体" w:hAnsi="宋体" w:cs="宋体"/>
                <w:b/>
                <w:color w:val="000000"/>
                <w:kern w:val="0"/>
                <w:sz w:val="22"/>
                <w:szCs w:val="22"/>
                <w:lang w:bidi="ar"/>
              </w:rPr>
              <w:t>本年支出合计</w:t>
            </w:r>
          </w:p>
        </w:tc>
        <w:tc>
          <w:tcPr>
            <w:tcW w:w="1560" w:type="dxa"/>
            <w:tcBorders>
              <w:top w:val="nil"/>
              <w:left w:val="nil"/>
              <w:bottom w:val="single" w:color="auto" w:sz="4" w:space="0"/>
              <w:right w:val="single" w:color="auto" w:sz="4" w:space="0"/>
            </w:tcBorders>
            <w:vAlign w:val="center"/>
          </w:tcPr>
          <w:p>
            <w:pPr>
              <w:widowControl/>
              <w:jc w:val="right"/>
              <w:textAlignment w:val="center"/>
              <w:rPr>
                <w:rFonts w:ascii="宋体" w:cs="Times New Roman"/>
                <w:b/>
                <w:bCs/>
                <w:color w:val="000000"/>
                <w:kern w:val="0"/>
                <w:sz w:val="18"/>
                <w:szCs w:val="18"/>
              </w:rPr>
            </w:pPr>
            <w:r>
              <w:rPr>
                <w:rFonts w:hint="eastAsia" w:ascii="宋体" w:hAnsi="宋体" w:cs="宋体"/>
                <w:color w:val="000000"/>
                <w:kern w:val="0"/>
                <w:sz w:val="22"/>
                <w:szCs w:val="22"/>
                <w:lang w:bidi="ar"/>
              </w:rPr>
              <w:t>458.51</w:t>
            </w:r>
          </w:p>
        </w:tc>
      </w:tr>
    </w:tbl>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w:t>
      </w:r>
      <w:r>
        <w:rPr>
          <w:rFonts w:hint="eastAsia" w:ascii="宋体" w:hAnsi="宋体" w:cs="宋体"/>
          <w:color w:val="3E3E3E"/>
          <w:kern w:val="0"/>
          <w:sz w:val="32"/>
          <w:szCs w:val="32"/>
        </w:rPr>
        <w:t>2023年部门收入总表表</w:t>
      </w:r>
      <w:r>
        <w:rPr>
          <w:rFonts w:hint="eastAsia" w:ascii="宋体" w:hAnsi="宋体" w:cs="宋体"/>
          <w:color w:val="3E3E3E"/>
          <w:kern w:val="0"/>
          <w:sz w:val="32"/>
          <w:szCs w:val="32"/>
        </w:rPr>
        <w:fldChar w:fldCharType="end"/>
      </w:r>
    </w:p>
    <w:tbl>
      <w:tblPr>
        <w:tblStyle w:val="6"/>
        <w:tblW w:w="16865" w:type="dxa"/>
        <w:tblInd w:w="-106" w:type="dxa"/>
        <w:tblLayout w:type="fixed"/>
        <w:tblCellMar>
          <w:top w:w="0" w:type="dxa"/>
          <w:left w:w="108" w:type="dxa"/>
          <w:bottom w:w="0" w:type="dxa"/>
          <w:right w:w="108" w:type="dxa"/>
        </w:tblCellMar>
      </w:tblPr>
      <w:tblGrid>
        <w:gridCol w:w="199"/>
        <w:gridCol w:w="1040"/>
        <w:gridCol w:w="1478"/>
        <w:gridCol w:w="767"/>
        <w:gridCol w:w="618"/>
        <w:gridCol w:w="104"/>
        <w:gridCol w:w="532"/>
        <w:gridCol w:w="157"/>
        <w:gridCol w:w="479"/>
        <w:gridCol w:w="221"/>
        <w:gridCol w:w="355"/>
        <w:gridCol w:w="145"/>
        <w:gridCol w:w="371"/>
        <w:gridCol w:w="96"/>
        <w:gridCol w:w="295"/>
        <w:gridCol w:w="260"/>
        <w:gridCol w:w="197"/>
        <w:gridCol w:w="337"/>
        <w:gridCol w:w="88"/>
        <w:gridCol w:w="428"/>
        <w:gridCol w:w="337"/>
        <w:gridCol w:w="213"/>
        <w:gridCol w:w="124"/>
        <w:gridCol w:w="337"/>
        <w:gridCol w:w="337"/>
        <w:gridCol w:w="462"/>
        <w:gridCol w:w="6888"/>
      </w:tblGrid>
      <w:tr>
        <w:tblPrEx>
          <w:tblCellMar>
            <w:top w:w="0" w:type="dxa"/>
            <w:left w:w="108" w:type="dxa"/>
            <w:bottom w:w="0" w:type="dxa"/>
            <w:right w:w="108" w:type="dxa"/>
          </w:tblCellMar>
        </w:tblPrEx>
        <w:trPr>
          <w:gridAfter w:val="2"/>
          <w:wAfter w:w="7350" w:type="dxa"/>
          <w:trHeight w:val="255" w:hRule="atLeast"/>
        </w:trPr>
        <w:tc>
          <w:tcPr>
            <w:tcW w:w="4102" w:type="dxa"/>
            <w:gridSpan w:val="5"/>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7</w:t>
            </w:r>
          </w:p>
        </w:tc>
        <w:tc>
          <w:tcPr>
            <w:tcW w:w="636"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636"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576"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516"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391"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457"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516"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gridSpan w:val="2"/>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left"/>
              <w:rPr>
                <w:rFonts w:ascii="宋体" w:cs="Times New Roman"/>
                <w:kern w:val="0"/>
                <w:sz w:val="20"/>
                <w:szCs w:val="20"/>
              </w:rPr>
            </w:pPr>
          </w:p>
        </w:tc>
        <w:tc>
          <w:tcPr>
            <w:tcW w:w="337"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gridAfter w:val="2"/>
          <w:wAfter w:w="7350" w:type="dxa"/>
          <w:trHeight w:val="330" w:hRule="atLeast"/>
        </w:trPr>
        <w:tc>
          <w:tcPr>
            <w:tcW w:w="4738" w:type="dxa"/>
            <w:gridSpan w:val="7"/>
            <w:tcBorders>
              <w:top w:val="nil"/>
              <w:left w:val="nil"/>
              <w:bottom w:val="single" w:color="auto" w:sz="4" w:space="0"/>
              <w:right w:val="nil"/>
            </w:tcBorders>
            <w:vAlign w:val="bottom"/>
          </w:tcPr>
          <w:p>
            <w:pPr>
              <w:widowControl/>
              <w:jc w:val="left"/>
              <w:rPr>
                <w:rFonts w:ascii="宋体" w:cs="Times New Roman"/>
                <w:kern w:val="0"/>
                <w:sz w:val="12"/>
                <w:szCs w:val="12"/>
              </w:rPr>
            </w:pPr>
            <w:r>
              <w:rPr>
                <w:rFonts w:hint="eastAsia" w:ascii="宋体" w:hAnsi="宋体" w:cs="宋体"/>
                <w:kern w:val="0"/>
                <w:sz w:val="12"/>
                <w:szCs w:val="12"/>
              </w:rPr>
              <w:t>部门（单位）名称：中国共产党长春市二道区委员会办公室</w:t>
            </w:r>
          </w:p>
        </w:tc>
        <w:tc>
          <w:tcPr>
            <w:tcW w:w="636"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76"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91"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457"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516"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337" w:type="dxa"/>
            <w:gridSpan w:val="2"/>
            <w:tcBorders>
              <w:top w:val="nil"/>
              <w:left w:val="nil"/>
              <w:bottom w:val="single" w:color="auto" w:sz="4" w:space="0"/>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　</w:t>
            </w:r>
          </w:p>
        </w:tc>
        <w:tc>
          <w:tcPr>
            <w:tcW w:w="674" w:type="dxa"/>
            <w:gridSpan w:val="2"/>
            <w:tcBorders>
              <w:top w:val="nil"/>
              <w:left w:val="nil"/>
              <w:bottom w:val="single" w:color="auto" w:sz="4" w:space="0"/>
              <w:right w:val="nil"/>
            </w:tcBorders>
            <w:vAlign w:val="bottom"/>
          </w:tcPr>
          <w:p>
            <w:pPr>
              <w:widowControl/>
              <w:jc w:val="right"/>
              <w:rPr>
                <w:rFonts w:ascii="宋体" w:cs="Times New Roman"/>
                <w:b/>
                <w:bCs/>
                <w:color w:val="000000"/>
                <w:kern w:val="0"/>
                <w:sz w:val="12"/>
                <w:szCs w:val="12"/>
              </w:rPr>
            </w:pPr>
          </w:p>
        </w:tc>
      </w:tr>
      <w:tr>
        <w:tblPrEx>
          <w:tblCellMar>
            <w:top w:w="0" w:type="dxa"/>
            <w:left w:w="0" w:type="dxa"/>
            <w:bottom w:w="0" w:type="dxa"/>
            <w:right w:w="0" w:type="dxa"/>
          </w:tblCellMar>
        </w:tblPrEx>
        <w:trPr>
          <w:gridBefore w:val="1"/>
          <w:gridAfter w:val="1"/>
          <w:wBefore w:w="199" w:type="dxa"/>
          <w:wAfter w:w="6888" w:type="dxa"/>
          <w:trHeight w:val="255" w:hRule="atLeast"/>
        </w:trPr>
        <w:tc>
          <w:tcPr>
            <w:tcW w:w="1040"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表7</w:t>
            </w:r>
          </w:p>
        </w:tc>
        <w:tc>
          <w:tcPr>
            <w:tcW w:w="147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2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8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00"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0"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6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5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2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8"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60"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gridBefore w:val="1"/>
          <w:wBefore w:w="199" w:type="dxa"/>
          <w:trHeight w:val="400" w:hRule="atLeast"/>
        </w:trPr>
        <w:tc>
          <w:tcPr>
            <w:tcW w:w="16666" w:type="dxa"/>
            <w:gridSpan w:val="26"/>
            <w:tcBorders>
              <w:top w:val="nil"/>
              <w:left w:val="nil"/>
              <w:bottom w:val="nil"/>
              <w:right w:val="nil"/>
            </w:tcBorders>
            <w:shd w:val="clear" w:color="auto" w:fill="auto"/>
            <w:noWrap/>
            <w:tcMar>
              <w:top w:w="15" w:type="dxa"/>
              <w:left w:w="15" w:type="dxa"/>
              <w:right w:w="15" w:type="dxa"/>
            </w:tcMar>
            <w:vAlign w:val="bottom"/>
          </w:tcPr>
          <w:p>
            <w:pPr>
              <w:widowControl/>
              <w:ind w:firstLine="3253" w:firstLineChars="900"/>
              <w:textAlignment w:val="bottom"/>
              <w:rPr>
                <w:rFonts w:ascii="宋体" w:hAnsi="宋体" w:cs="宋体"/>
                <w:b/>
                <w:color w:val="000000"/>
                <w:sz w:val="36"/>
                <w:szCs w:val="36"/>
              </w:rPr>
            </w:pPr>
            <w:r>
              <w:rPr>
                <w:rFonts w:hint="eastAsia" w:ascii="宋体" w:hAnsi="宋体" w:cs="宋体"/>
                <w:b/>
                <w:color w:val="000000"/>
                <w:kern w:val="0"/>
                <w:sz w:val="36"/>
                <w:szCs w:val="36"/>
                <w:lang w:bidi="ar"/>
              </w:rPr>
              <w:t>部门收入预算总表</w:t>
            </w:r>
          </w:p>
        </w:tc>
      </w:tr>
      <w:tr>
        <w:tblPrEx>
          <w:tblCellMar>
            <w:top w:w="0" w:type="dxa"/>
            <w:left w:w="0" w:type="dxa"/>
            <w:bottom w:w="0" w:type="dxa"/>
            <w:right w:w="0" w:type="dxa"/>
          </w:tblCellMar>
        </w:tblPrEx>
        <w:trPr>
          <w:gridBefore w:val="1"/>
          <w:gridAfter w:val="1"/>
          <w:wBefore w:w="199" w:type="dxa"/>
          <w:wAfter w:w="6888" w:type="dxa"/>
          <w:trHeight w:val="285" w:hRule="atLeast"/>
        </w:trPr>
        <w:tc>
          <w:tcPr>
            <w:tcW w:w="104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2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8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00"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0"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6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5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2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8"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60"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单位：万元</w:t>
            </w:r>
          </w:p>
        </w:tc>
      </w:tr>
      <w:tr>
        <w:tblPrEx>
          <w:tblCellMar>
            <w:top w:w="0" w:type="dxa"/>
            <w:left w:w="0" w:type="dxa"/>
            <w:bottom w:w="0" w:type="dxa"/>
            <w:right w:w="0" w:type="dxa"/>
          </w:tblCellMar>
        </w:tblPrEx>
        <w:trPr>
          <w:gridBefore w:val="1"/>
          <w:gridAfter w:val="1"/>
          <w:wBefore w:w="199" w:type="dxa"/>
          <w:wAfter w:w="6888" w:type="dxa"/>
          <w:trHeight w:val="10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功能科目编码（类款项）</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功能科目名称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总计</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一般公共预算财政拨款</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政府性基金预算财政拨款</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事业收入</w:t>
            </w:r>
          </w:p>
        </w:tc>
        <w:tc>
          <w:tcPr>
            <w:tcW w:w="5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事业单位经营收入</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其他收入</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上级补助收入</w:t>
            </w:r>
          </w:p>
        </w:tc>
        <w:tc>
          <w:tcPr>
            <w:tcW w:w="6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附属单位上缴收入</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用事业基金弥补收支差额</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1"/>
                <w:szCs w:val="11"/>
              </w:rPr>
            </w:pPr>
            <w:r>
              <w:rPr>
                <w:rFonts w:hint="eastAsia" w:ascii="宋体" w:hAnsi="宋体" w:cs="宋体"/>
                <w:color w:val="000000"/>
                <w:kern w:val="0"/>
                <w:sz w:val="11"/>
                <w:szCs w:val="11"/>
                <w:lang w:bidi="ar"/>
              </w:rPr>
              <w:t>上年结转</w:t>
            </w:r>
          </w:p>
        </w:tc>
      </w:tr>
      <w:tr>
        <w:tblPrEx>
          <w:tblCellMar>
            <w:top w:w="0" w:type="dxa"/>
            <w:left w:w="0" w:type="dxa"/>
            <w:bottom w:w="0" w:type="dxa"/>
            <w:right w:w="0" w:type="dxa"/>
          </w:tblCellMar>
        </w:tblPrEx>
        <w:trPr>
          <w:gridBefore w:val="1"/>
          <w:gridAfter w:val="1"/>
          <w:wBefore w:w="199" w:type="dxa"/>
          <w:wAfter w:w="6888" w:type="dxa"/>
          <w:trHeight w:val="3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2013101</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ascii="Arial" w:hAnsi="Arial" w:cs="Arial"/>
                <w:color w:val="000000"/>
                <w:sz w:val="15"/>
                <w:szCs w:val="15"/>
              </w:rPr>
            </w:pPr>
            <w:r>
              <w:rPr>
                <w:rFonts w:hint="eastAsia" w:ascii="Arial" w:hAnsi="Arial" w:cs="Arial"/>
                <w:color w:val="000000"/>
                <w:sz w:val="15"/>
                <w:szCs w:val="15"/>
              </w:rPr>
              <w:t>行政运行</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322.77</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322.77</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6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r>
      <w:tr>
        <w:tblPrEx>
          <w:tblCellMar>
            <w:top w:w="0" w:type="dxa"/>
            <w:left w:w="0" w:type="dxa"/>
            <w:bottom w:w="0" w:type="dxa"/>
            <w:right w:w="0" w:type="dxa"/>
          </w:tblCellMar>
        </w:tblPrEx>
        <w:trPr>
          <w:gridBefore w:val="1"/>
          <w:gridAfter w:val="1"/>
          <w:wBefore w:w="199" w:type="dxa"/>
          <w:wAfter w:w="6888" w:type="dxa"/>
          <w:trHeight w:val="4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201310</w:t>
            </w:r>
            <w:r>
              <w:rPr>
                <w:rFonts w:hint="eastAsia" w:ascii="Arial" w:hAnsi="Arial" w:cs="Arial"/>
                <w:color w:val="000000"/>
                <w:kern w:val="0"/>
                <w:sz w:val="15"/>
                <w:szCs w:val="15"/>
                <w:lang w:bidi="ar"/>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ascii="Arial" w:hAnsi="Arial" w:cs="Arial"/>
                <w:color w:val="000000"/>
                <w:sz w:val="15"/>
                <w:szCs w:val="15"/>
              </w:rPr>
            </w:pPr>
            <w:r>
              <w:rPr>
                <w:rFonts w:hint="eastAsia" w:ascii="Arial" w:hAnsi="Arial" w:cs="Arial"/>
                <w:color w:val="000000"/>
                <w:sz w:val="15"/>
                <w:szCs w:val="15"/>
              </w:rPr>
              <w:t>一般行政管理事务</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135.74</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135.74</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6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r>
      <w:tr>
        <w:tblPrEx>
          <w:tblCellMar>
            <w:top w:w="0" w:type="dxa"/>
            <w:left w:w="0" w:type="dxa"/>
            <w:bottom w:w="0" w:type="dxa"/>
            <w:right w:w="0" w:type="dxa"/>
          </w:tblCellMar>
        </w:tblPrEx>
        <w:trPr>
          <w:gridBefore w:val="1"/>
          <w:gridAfter w:val="1"/>
          <w:wBefore w:w="199" w:type="dxa"/>
          <w:wAfter w:w="6888" w:type="dxa"/>
          <w:trHeight w:val="4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color w:val="000000"/>
                <w:sz w:val="15"/>
                <w:szCs w:val="15"/>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lang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458.51</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Arial" w:cs="Arial"/>
                <w:color w:val="000000"/>
                <w:sz w:val="15"/>
                <w:szCs w:val="15"/>
              </w:rPr>
            </w:pPr>
            <w:r>
              <w:rPr>
                <w:rFonts w:hint="eastAsia" w:ascii="Arial" w:hAnsi="Arial" w:cs="Arial"/>
                <w:color w:val="000000"/>
                <w:kern w:val="0"/>
                <w:sz w:val="15"/>
                <w:szCs w:val="15"/>
                <w:lang w:bidi="ar"/>
              </w:rPr>
              <w:t>458.51</w:t>
            </w:r>
          </w:p>
        </w:tc>
        <w:tc>
          <w:tcPr>
            <w:tcW w:w="6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6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Arial" w:hAnsi="Arial" w:cs="Arial"/>
                <w:color w:val="000000"/>
                <w:sz w:val="15"/>
                <w:szCs w:val="15"/>
              </w:rPr>
            </w:pPr>
            <w:r>
              <w:rPr>
                <w:rFonts w:ascii="Arial" w:hAnsi="Arial" w:cs="Arial"/>
                <w:color w:val="000000"/>
                <w:kern w:val="0"/>
                <w:sz w:val="15"/>
                <w:szCs w:val="15"/>
                <w:lang w:bidi="ar"/>
              </w:rPr>
              <w:t>0.00</w:t>
            </w:r>
          </w:p>
        </w:tc>
      </w:tr>
    </w:tbl>
    <w:p>
      <w:pPr>
        <w:spacing w:line="360" w:lineRule="auto"/>
        <w:jc w:val="left"/>
      </w:pPr>
    </w:p>
    <w:p>
      <w:pPr>
        <w:spacing w:line="360" w:lineRule="auto"/>
        <w:jc w:val="left"/>
        <w:rPr>
          <w:rFonts w:ascii="宋体" w:cs="Times New Roman"/>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w:t>
      </w:r>
      <w:r>
        <w:rPr>
          <w:rFonts w:hint="eastAsia" w:ascii="宋体" w:hAnsi="宋体" w:cs="宋体"/>
          <w:color w:val="3E3E3E"/>
          <w:kern w:val="0"/>
          <w:sz w:val="32"/>
          <w:szCs w:val="32"/>
        </w:rPr>
        <w:t>2023部门支出总表</w:t>
      </w:r>
      <w:r>
        <w:rPr>
          <w:rFonts w:hint="eastAsia" w:ascii="宋体" w:hAnsi="宋体" w:cs="宋体"/>
          <w:color w:val="3E3E3E"/>
          <w:kern w:val="0"/>
          <w:sz w:val="32"/>
          <w:szCs w:val="32"/>
        </w:rPr>
        <w:fldChar w:fldCharType="end"/>
      </w:r>
    </w:p>
    <w:tbl>
      <w:tblPr>
        <w:tblStyle w:val="6"/>
        <w:tblW w:w="23759" w:type="dxa"/>
        <w:tblInd w:w="-106" w:type="dxa"/>
        <w:tblLayout w:type="fixed"/>
        <w:tblCellMar>
          <w:top w:w="0" w:type="dxa"/>
          <w:left w:w="108" w:type="dxa"/>
          <w:bottom w:w="0" w:type="dxa"/>
          <w:right w:w="108" w:type="dxa"/>
        </w:tblCellMar>
      </w:tblPr>
      <w:tblGrid>
        <w:gridCol w:w="545"/>
        <w:gridCol w:w="1529"/>
        <w:gridCol w:w="1114"/>
        <w:gridCol w:w="1115"/>
        <w:gridCol w:w="2385"/>
        <w:gridCol w:w="943"/>
        <w:gridCol w:w="861"/>
        <w:gridCol w:w="825"/>
        <w:gridCol w:w="783"/>
        <w:gridCol w:w="803"/>
        <w:gridCol w:w="2411"/>
        <w:gridCol w:w="2410"/>
        <w:gridCol w:w="2411"/>
        <w:gridCol w:w="2411"/>
        <w:gridCol w:w="3213"/>
      </w:tblGrid>
      <w:tr>
        <w:tblPrEx>
          <w:tblCellMar>
            <w:top w:w="0" w:type="dxa"/>
            <w:left w:w="108" w:type="dxa"/>
            <w:bottom w:w="0" w:type="dxa"/>
            <w:right w:w="108" w:type="dxa"/>
          </w:tblCellMar>
        </w:tblPrEx>
        <w:trPr>
          <w:trHeight w:val="255" w:hRule="atLeast"/>
        </w:trPr>
        <w:tc>
          <w:tcPr>
            <w:tcW w:w="8492" w:type="dxa"/>
            <w:gridSpan w:val="7"/>
            <w:tcBorders>
              <w:top w:val="nil"/>
              <w:left w:val="nil"/>
              <w:bottom w:val="nil"/>
              <w:right w:val="nil"/>
            </w:tcBorders>
            <w:vAlign w:val="bottom"/>
          </w:tcPr>
          <w:p>
            <w:pPr>
              <w:widowControl/>
              <w:jc w:val="left"/>
              <w:rPr>
                <w:rFonts w:ascii="宋体" w:cs="Times New Roman"/>
                <w:kern w:val="0"/>
                <w:sz w:val="20"/>
                <w:szCs w:val="20"/>
              </w:rPr>
            </w:pPr>
            <w:r>
              <w:rPr>
                <w:rFonts w:hint="eastAsia" w:ascii="宋体" w:hAnsi="宋体" w:cs="宋体"/>
                <w:kern w:val="0"/>
                <w:sz w:val="20"/>
                <w:szCs w:val="20"/>
              </w:rPr>
              <w:t>部门预算公开表</w:t>
            </w:r>
            <w:r>
              <w:rPr>
                <w:rFonts w:ascii="宋体" w:hAnsi="宋体" w:cs="宋体"/>
                <w:kern w:val="0"/>
                <w:sz w:val="20"/>
                <w:szCs w:val="20"/>
              </w:rPr>
              <w:t>8</w:t>
            </w:r>
          </w:p>
        </w:tc>
        <w:tc>
          <w:tcPr>
            <w:tcW w:w="2411" w:type="dxa"/>
            <w:gridSpan w:val="3"/>
            <w:tcBorders>
              <w:top w:val="nil"/>
              <w:left w:val="nil"/>
              <w:bottom w:val="nil"/>
              <w:right w:val="nil"/>
            </w:tcBorders>
            <w:vAlign w:val="bottom"/>
          </w:tcPr>
          <w:p>
            <w:pPr>
              <w:widowControl/>
              <w:jc w:val="left"/>
              <w:rPr>
                <w:rFonts w:ascii="宋体" w:cs="Times New Roman"/>
                <w:kern w:val="0"/>
                <w:sz w:val="20"/>
                <w:szCs w:val="20"/>
              </w:rPr>
            </w:pPr>
          </w:p>
        </w:tc>
        <w:tc>
          <w:tcPr>
            <w:tcW w:w="2411" w:type="dxa"/>
            <w:tcBorders>
              <w:top w:val="nil"/>
              <w:left w:val="nil"/>
              <w:bottom w:val="nil"/>
              <w:right w:val="nil"/>
            </w:tcBorders>
            <w:vAlign w:val="bottom"/>
          </w:tcPr>
          <w:p>
            <w:pPr>
              <w:widowControl/>
              <w:jc w:val="left"/>
              <w:rPr>
                <w:rFonts w:ascii="宋体" w:cs="Times New Roman"/>
                <w:kern w:val="0"/>
                <w:sz w:val="20"/>
                <w:szCs w:val="20"/>
              </w:rPr>
            </w:pPr>
          </w:p>
        </w:tc>
        <w:tc>
          <w:tcPr>
            <w:tcW w:w="2410" w:type="dxa"/>
            <w:tcBorders>
              <w:top w:val="nil"/>
              <w:left w:val="nil"/>
              <w:bottom w:val="nil"/>
              <w:right w:val="nil"/>
            </w:tcBorders>
            <w:vAlign w:val="bottom"/>
          </w:tcPr>
          <w:p>
            <w:pPr>
              <w:widowControl/>
              <w:jc w:val="left"/>
              <w:rPr>
                <w:rFonts w:ascii="宋体" w:cs="Times New Roman"/>
                <w:kern w:val="0"/>
                <w:sz w:val="20"/>
                <w:szCs w:val="20"/>
              </w:rPr>
            </w:pPr>
          </w:p>
        </w:tc>
        <w:tc>
          <w:tcPr>
            <w:tcW w:w="2411" w:type="dxa"/>
            <w:tcBorders>
              <w:top w:val="nil"/>
              <w:left w:val="nil"/>
              <w:bottom w:val="nil"/>
              <w:right w:val="nil"/>
            </w:tcBorders>
            <w:vAlign w:val="bottom"/>
          </w:tcPr>
          <w:p>
            <w:pPr>
              <w:widowControl/>
              <w:jc w:val="left"/>
              <w:rPr>
                <w:rFonts w:ascii="宋体" w:cs="Times New Roman"/>
                <w:kern w:val="0"/>
                <w:sz w:val="20"/>
                <w:szCs w:val="20"/>
              </w:rPr>
            </w:pPr>
          </w:p>
        </w:tc>
        <w:tc>
          <w:tcPr>
            <w:tcW w:w="2411" w:type="dxa"/>
            <w:tcBorders>
              <w:top w:val="nil"/>
              <w:left w:val="nil"/>
              <w:bottom w:val="nil"/>
              <w:right w:val="nil"/>
            </w:tcBorders>
            <w:vAlign w:val="bottom"/>
          </w:tcPr>
          <w:p>
            <w:pPr>
              <w:widowControl/>
              <w:jc w:val="left"/>
              <w:rPr>
                <w:rFonts w:ascii="宋体" w:cs="Times New Roman"/>
                <w:kern w:val="0"/>
                <w:sz w:val="20"/>
                <w:szCs w:val="20"/>
              </w:rPr>
            </w:pPr>
          </w:p>
        </w:tc>
        <w:tc>
          <w:tcPr>
            <w:tcW w:w="3213" w:type="dxa"/>
            <w:tcBorders>
              <w:top w:val="nil"/>
              <w:left w:val="nil"/>
              <w:bottom w:val="nil"/>
              <w:right w:val="nil"/>
            </w:tcBorders>
            <w:vAlign w:val="bottom"/>
          </w:tcPr>
          <w:p>
            <w:pPr>
              <w:widowControl/>
              <w:jc w:val="right"/>
              <w:rPr>
                <w:rFonts w:ascii="宋体" w:cs="Times New Roman"/>
                <w:b/>
                <w:bCs/>
                <w:color w:val="000000"/>
                <w:kern w:val="0"/>
                <w:sz w:val="20"/>
                <w:szCs w:val="20"/>
              </w:rPr>
            </w:pPr>
          </w:p>
        </w:tc>
      </w:tr>
      <w:tr>
        <w:tblPrEx>
          <w:tblCellMar>
            <w:top w:w="0" w:type="dxa"/>
            <w:left w:w="108" w:type="dxa"/>
            <w:bottom w:w="0" w:type="dxa"/>
            <w:right w:w="108" w:type="dxa"/>
          </w:tblCellMar>
        </w:tblPrEx>
        <w:trPr>
          <w:trHeight w:val="225" w:hRule="atLeast"/>
        </w:trPr>
        <w:tc>
          <w:tcPr>
            <w:tcW w:w="8492" w:type="dxa"/>
            <w:gridSpan w:val="7"/>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部门（单位）名称：中国共产党长春市二道区委员会办公室</w:t>
            </w:r>
          </w:p>
        </w:tc>
        <w:tc>
          <w:tcPr>
            <w:tcW w:w="2411" w:type="dxa"/>
            <w:gridSpan w:val="3"/>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2411"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2410"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2411"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2411" w:type="dxa"/>
            <w:tcBorders>
              <w:top w:val="nil"/>
              <w:left w:val="nil"/>
              <w:bottom w:val="single" w:color="auto" w:sz="4" w:space="0"/>
              <w:right w:val="nil"/>
            </w:tcBorders>
            <w:vAlign w:val="bottom"/>
          </w:tcPr>
          <w:p>
            <w:pPr>
              <w:widowControl/>
              <w:jc w:val="left"/>
              <w:rPr>
                <w:rFonts w:ascii="宋体" w:cs="Times New Roman"/>
                <w:kern w:val="0"/>
                <w:sz w:val="16"/>
                <w:szCs w:val="16"/>
              </w:rPr>
            </w:pPr>
            <w:r>
              <w:rPr>
                <w:rFonts w:hint="eastAsia" w:ascii="宋体" w:hAnsi="宋体" w:cs="宋体"/>
                <w:kern w:val="0"/>
                <w:sz w:val="16"/>
                <w:szCs w:val="16"/>
              </w:rPr>
              <w:t>　</w:t>
            </w:r>
          </w:p>
        </w:tc>
        <w:tc>
          <w:tcPr>
            <w:tcW w:w="3213" w:type="dxa"/>
            <w:tcBorders>
              <w:top w:val="nil"/>
              <w:left w:val="nil"/>
              <w:bottom w:val="single" w:color="auto" w:sz="4" w:space="0"/>
              <w:right w:val="nil"/>
            </w:tcBorders>
            <w:vAlign w:val="bottom"/>
          </w:tcPr>
          <w:p>
            <w:pPr>
              <w:widowControl/>
              <w:jc w:val="right"/>
              <w:rPr>
                <w:rFonts w:ascii="宋体" w:cs="Times New Roman"/>
                <w:b/>
                <w:bCs/>
                <w:color w:val="000000"/>
                <w:kern w:val="0"/>
                <w:sz w:val="16"/>
                <w:szCs w:val="16"/>
              </w:rPr>
            </w:pPr>
            <w:r>
              <w:rPr>
                <w:rFonts w:hint="eastAsia" w:ascii="宋体" w:hAnsi="宋体" w:cs="宋体"/>
                <w:b/>
                <w:bCs/>
                <w:color w:val="000000"/>
                <w:kern w:val="0"/>
                <w:sz w:val="16"/>
                <w:szCs w:val="16"/>
              </w:rPr>
              <w:t>单位：万元</w:t>
            </w:r>
          </w:p>
        </w:tc>
      </w:tr>
      <w:tr>
        <w:tblPrEx>
          <w:tblCellMar>
            <w:top w:w="0" w:type="dxa"/>
            <w:left w:w="0" w:type="dxa"/>
            <w:bottom w:w="0" w:type="dxa"/>
            <w:right w:w="0" w:type="dxa"/>
          </w:tblCellMar>
        </w:tblPrEx>
        <w:trPr>
          <w:gridBefore w:val="1"/>
          <w:gridAfter w:val="6"/>
          <w:wBefore w:w="545" w:type="dxa"/>
          <w:wAfter w:w="13659" w:type="dxa"/>
          <w:trHeight w:val="285" w:hRule="atLeast"/>
        </w:trPr>
        <w:tc>
          <w:tcPr>
            <w:tcW w:w="152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8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gridBefore w:val="1"/>
          <w:gridAfter w:val="6"/>
          <w:wBefore w:w="545" w:type="dxa"/>
          <w:wAfter w:w="13659" w:type="dxa"/>
          <w:trHeight w:val="1185"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right="391" w:rightChars="186"/>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功能科目编码（类款项）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功能科目名称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基本支出</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项目支出</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上缴上级支出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事业单位经营支出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对下级补助支出</w:t>
            </w:r>
          </w:p>
        </w:tc>
      </w:tr>
      <w:tr>
        <w:tblPrEx>
          <w:tblCellMar>
            <w:top w:w="0" w:type="dxa"/>
            <w:left w:w="0" w:type="dxa"/>
            <w:bottom w:w="0" w:type="dxa"/>
            <w:right w:w="0" w:type="dxa"/>
          </w:tblCellMar>
        </w:tblPrEx>
        <w:trPr>
          <w:gridBefore w:val="1"/>
          <w:gridAfter w:val="6"/>
          <w:wBefore w:w="545" w:type="dxa"/>
          <w:wAfter w:w="13659" w:type="dxa"/>
          <w:trHeight w:val="6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kern w:val="0"/>
                <w:sz w:val="20"/>
                <w:szCs w:val="20"/>
                <w:lang w:bidi="ar"/>
              </w:rPr>
            </w:pPr>
            <w:r>
              <w:rPr>
                <w:rFonts w:hint="eastAsia" w:ascii="Arial" w:hAnsi="Arial" w:cs="Arial"/>
                <w:color w:val="000000"/>
                <w:kern w:val="0"/>
                <w:sz w:val="20"/>
                <w:szCs w:val="20"/>
                <w:lang w:bidi="ar"/>
              </w:rPr>
              <w:t>201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一般公共服务支出</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kern w:val="0"/>
                <w:sz w:val="20"/>
                <w:szCs w:val="20"/>
                <w:lang w:bidi="ar"/>
              </w:rPr>
            </w:pPr>
            <w:r>
              <w:rPr>
                <w:rFonts w:hint="eastAsia" w:ascii="Arial" w:hAnsi="Arial" w:cs="Arial"/>
                <w:color w:val="000000"/>
                <w:kern w:val="0"/>
                <w:sz w:val="20"/>
                <w:szCs w:val="20"/>
                <w:lang w:bidi="ar"/>
              </w:rPr>
              <w:t>458.51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right="1552" w:rightChars="739"/>
              <w:jc w:val="right"/>
              <w:textAlignment w:val="bottom"/>
              <w:rPr>
                <w:rFonts w:ascii="Arial" w:hAnsi="Arial" w:cs="Arial"/>
                <w:color w:val="000000"/>
                <w:sz w:val="20"/>
                <w:szCs w:val="20"/>
              </w:rPr>
            </w:pPr>
            <w:r>
              <w:rPr>
                <w:rFonts w:ascii="Arial" w:hAnsi="Arial" w:cs="Arial"/>
                <w:color w:val="000000"/>
                <w:sz w:val="20"/>
                <w:szCs w:val="20"/>
              </w:rPr>
              <w:t xml:space="preserve">    </w:t>
            </w:r>
            <w:r>
              <w:rPr>
                <w:rFonts w:hint="eastAsia" w:ascii="Arial" w:hAnsi="Arial" w:cs="Arial"/>
                <w:color w:val="000000"/>
                <w:sz w:val="20"/>
                <w:szCs w:val="20"/>
              </w:rPr>
              <w:t>322.77</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kern w:val="0"/>
                <w:sz w:val="20"/>
                <w:szCs w:val="20"/>
                <w:lang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gridBefore w:val="1"/>
          <w:gridAfter w:val="6"/>
          <w:wBefore w:w="545" w:type="dxa"/>
          <w:wAfter w:w="13659" w:type="dxa"/>
          <w:trHeight w:val="6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2013101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行政运行</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322.77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322.77</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gridBefore w:val="1"/>
          <w:gridAfter w:val="6"/>
          <w:wBefore w:w="545" w:type="dxa"/>
          <w:wAfter w:w="13659" w:type="dxa"/>
          <w:trHeight w:val="6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2013102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一般行政管理事务</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135.74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135.74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gridBefore w:val="1"/>
          <w:gridAfter w:val="6"/>
          <w:wBefore w:w="545" w:type="dxa"/>
          <w:wAfter w:w="13659" w:type="dxa"/>
          <w:trHeight w:val="69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合计</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458.51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322.77</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lang w:bidi="ar"/>
              </w:rPr>
              <w:t>135.74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Arial" w:hAnsi="Arial" w:cs="Arial"/>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Arial" w:hAnsi="Arial" w:cs="Arial"/>
                <w:color w:val="000000"/>
                <w:sz w:val="20"/>
                <w:szCs w:val="20"/>
              </w:rPr>
            </w:pPr>
          </w:p>
        </w:tc>
      </w:tr>
    </w:tbl>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2023年度部门预算情况说明</w:t>
      </w:r>
    </w:p>
    <w:p>
      <w:pPr>
        <w:widowControl/>
        <w:spacing w:before="100" w:beforeAutospacing="1" w:after="100" w:afterAutospacing="1" w:line="360" w:lineRule="auto"/>
        <w:ind w:firstLine="643" w:firstLineChars="200"/>
        <w:jc w:val="left"/>
        <w:rPr>
          <w:rFonts w:ascii="楷体_GB2312" w:eastAsia="楷体_GB2312"/>
          <w:b/>
          <w:sz w:val="32"/>
          <w:szCs w:val="32"/>
        </w:rPr>
      </w:pPr>
      <w:r>
        <w:rPr>
          <w:rFonts w:hint="eastAsia" w:ascii="宋体" w:hAnsi="宋体" w:cs="宋体"/>
          <w:b/>
          <w:bCs/>
          <w:color w:val="3E3E3E"/>
          <w:kern w:val="0"/>
          <w:sz w:val="32"/>
          <w:szCs w:val="32"/>
        </w:rPr>
        <w:t>一、2023年财政拨款收支说明</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2023年财政拨款458.51万元</w:t>
      </w:r>
      <w:r>
        <w:rPr>
          <w:rFonts w:ascii="仿宋_GB2312" w:eastAsia="仿宋_GB2312"/>
          <w:sz w:val="32"/>
          <w:szCs w:val="32"/>
        </w:rPr>
        <w:t>,</w:t>
      </w:r>
      <w:r>
        <w:rPr>
          <w:rFonts w:hint="eastAsia" w:ascii="仿宋_GB2312" w:eastAsia="仿宋_GB2312"/>
          <w:sz w:val="32"/>
          <w:szCs w:val="32"/>
        </w:rPr>
        <w:t>纳入政府性基金</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其他收入</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收入合计458.51万元。</w:t>
      </w:r>
    </w:p>
    <w:p>
      <w:pPr>
        <w:rPr>
          <w:rFonts w:ascii="仿宋_GB2312" w:eastAsia="仿宋_GB2312"/>
          <w:sz w:val="32"/>
          <w:szCs w:val="32"/>
        </w:rPr>
      </w:pPr>
      <w:r>
        <w:rPr>
          <w:rFonts w:hint="eastAsia" w:ascii="仿宋_GB2312" w:eastAsia="仿宋_GB2312"/>
          <w:sz w:val="32"/>
          <w:szCs w:val="32"/>
        </w:rPr>
        <w:t>　　2023年财政预算支出458.51万元，其中，基本支出322.77万元，项目支出135.74万元。</w:t>
      </w:r>
    </w:p>
    <w:p>
      <w:pPr>
        <w:ind w:firstLine="643" w:firstLineChars="200"/>
        <w:rPr>
          <w:rFonts w:ascii="楷体_GB2312" w:eastAsia="楷体_GB2312"/>
          <w:b/>
          <w:sz w:val="32"/>
          <w:szCs w:val="32"/>
        </w:rPr>
      </w:pPr>
      <w:r>
        <w:rPr>
          <w:rFonts w:hint="eastAsia" w:ascii="楷体_GB2312" w:eastAsia="楷体_GB2312"/>
          <w:b/>
          <w:sz w:val="32"/>
          <w:szCs w:val="32"/>
        </w:rPr>
        <w:t>二、一般公共预算支出表说明</w:t>
      </w:r>
    </w:p>
    <w:p>
      <w:pPr>
        <w:ind w:firstLine="640" w:firstLineChars="200"/>
        <w:rPr>
          <w:rFonts w:ascii="仿宋_GB2312" w:eastAsia="仿宋_GB2312"/>
          <w:sz w:val="32"/>
          <w:szCs w:val="32"/>
        </w:rPr>
      </w:pPr>
      <w:r>
        <w:rPr>
          <w:rFonts w:hint="eastAsia" w:ascii="仿宋_GB2312" w:eastAsia="仿宋_GB2312"/>
          <w:sz w:val="32"/>
          <w:szCs w:val="32"/>
        </w:rPr>
        <w:t>行政运行支出322.77万元。</w:t>
      </w:r>
    </w:p>
    <w:p>
      <w:pPr>
        <w:ind w:firstLine="640" w:firstLineChars="200"/>
        <w:rPr>
          <w:rFonts w:ascii="仿宋_GB2312" w:eastAsia="仿宋_GB2312"/>
          <w:sz w:val="32"/>
          <w:szCs w:val="32"/>
        </w:rPr>
      </w:pPr>
      <w:r>
        <w:rPr>
          <w:rFonts w:hint="eastAsia" w:ascii="仿宋_GB2312" w:eastAsia="仿宋_GB2312"/>
          <w:sz w:val="32"/>
          <w:szCs w:val="32"/>
        </w:rPr>
        <w:t>一般行政管理事务支出135.74万元。</w:t>
      </w:r>
    </w:p>
    <w:p>
      <w:pPr>
        <w:ind w:firstLine="643" w:firstLineChars="200"/>
        <w:rPr>
          <w:rFonts w:ascii="楷体_GB2312" w:eastAsia="楷体_GB2312"/>
          <w:b/>
          <w:sz w:val="32"/>
          <w:szCs w:val="32"/>
        </w:rPr>
      </w:pPr>
      <w:r>
        <w:rPr>
          <w:rFonts w:hint="eastAsia" w:ascii="楷体_GB2312" w:eastAsia="楷体_GB2312"/>
          <w:b/>
          <w:sz w:val="32"/>
          <w:szCs w:val="32"/>
        </w:rPr>
        <w:t>三、一般公共预算基本支出情况说明</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工资福利支出274.14万元。</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商品和服务支出48.63万元。</w:t>
      </w:r>
    </w:p>
    <w:p>
      <w:pPr>
        <w:ind w:firstLine="640" w:firstLineChars="200"/>
        <w:rPr>
          <w:rFonts w:ascii="仿宋_GB2312" w:eastAsia="仿宋_GB2312"/>
          <w:sz w:val="32"/>
          <w:szCs w:val="32"/>
        </w:rPr>
      </w:pPr>
      <w:r>
        <w:rPr>
          <w:rFonts w:hint="eastAsia" w:ascii="仿宋_GB2312" w:eastAsia="仿宋_GB2312"/>
          <w:sz w:val="32"/>
          <w:szCs w:val="32"/>
        </w:rPr>
        <w:t>共计基本支出322.77万元。</w:t>
      </w:r>
    </w:p>
    <w:p>
      <w:pPr>
        <w:ind w:firstLine="643" w:firstLineChars="200"/>
        <w:rPr>
          <w:rFonts w:ascii="楷体_GB2312" w:eastAsia="楷体_GB2312"/>
          <w:b/>
          <w:sz w:val="32"/>
          <w:szCs w:val="32"/>
        </w:rPr>
      </w:pPr>
      <w:r>
        <w:rPr>
          <w:rFonts w:hint="eastAsia" w:ascii="楷体_GB2312" w:eastAsia="楷体_GB2312"/>
          <w:b/>
          <w:sz w:val="32"/>
          <w:szCs w:val="32"/>
        </w:rPr>
        <w:t>四、2023年“三公”经费预算情况说明</w:t>
      </w:r>
    </w:p>
    <w:p>
      <w:pPr>
        <w:rPr>
          <w:rFonts w:ascii="仿宋_GB2312" w:eastAsia="仿宋_GB2312"/>
          <w:sz w:val="32"/>
          <w:szCs w:val="32"/>
        </w:rPr>
      </w:pPr>
      <w:r>
        <w:rPr>
          <w:rFonts w:hint="eastAsia" w:ascii="仿宋_GB2312" w:eastAsia="仿宋_GB2312"/>
          <w:sz w:val="32"/>
          <w:szCs w:val="32"/>
        </w:rPr>
        <w:t>　　2023年“三公”经费预算数12.38万元。</w:t>
      </w:r>
    </w:p>
    <w:p>
      <w:pPr>
        <w:ind w:firstLine="640" w:firstLineChars="200"/>
        <w:rPr>
          <w:rFonts w:ascii="仿宋_GB2312" w:eastAsia="仿宋_GB2312"/>
          <w:sz w:val="32"/>
          <w:szCs w:val="32"/>
        </w:rPr>
      </w:pPr>
      <w:r>
        <w:rPr>
          <w:rFonts w:hint="eastAsia" w:ascii="仿宋_GB2312" w:eastAsia="仿宋_GB2312"/>
          <w:sz w:val="32"/>
          <w:szCs w:val="32"/>
        </w:rPr>
        <w:t>其中</w:t>
      </w:r>
      <w:r>
        <w:rPr>
          <w:rFonts w:ascii="仿宋_GB2312" w:eastAsia="仿宋_GB2312"/>
          <w:sz w:val="32"/>
          <w:szCs w:val="32"/>
        </w:rPr>
        <w:t xml:space="preserve"> 1</w:t>
      </w:r>
      <w:r>
        <w:rPr>
          <w:rFonts w:hint="eastAsia" w:ascii="仿宋_GB2312" w:eastAsia="仿宋_GB2312"/>
          <w:sz w:val="32"/>
          <w:szCs w:val="32"/>
        </w:rPr>
        <w:t>、公务用车费12.38万元，同比增长3</w:t>
      </w:r>
      <w:r>
        <w:rPr>
          <w:rFonts w:ascii="仿宋_GB2312" w:eastAsia="仿宋_GB2312"/>
          <w:sz w:val="32"/>
          <w:szCs w:val="32"/>
        </w:rPr>
        <w:t>2%</w:t>
      </w:r>
      <w:r>
        <w:rPr>
          <w:rFonts w:hint="eastAsia" w:ascii="仿宋_GB2312" w:eastAsia="仿宋_GB2312"/>
          <w:sz w:val="32"/>
          <w:szCs w:val="32"/>
        </w:rPr>
        <w:t>，主要因为新增公务用车一台。</w:t>
      </w:r>
    </w:p>
    <w:p>
      <w:pPr>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2</w:t>
      </w:r>
      <w:r>
        <w:rPr>
          <w:rFonts w:hint="eastAsia" w:ascii="仿宋_GB2312" w:eastAsia="仿宋_GB2312"/>
          <w:sz w:val="32"/>
          <w:szCs w:val="32"/>
        </w:rPr>
        <w:t>、公务接待费</w:t>
      </w:r>
      <w:r>
        <w:rPr>
          <w:rFonts w:ascii="仿宋_GB2312" w:eastAsia="仿宋_GB2312"/>
          <w:sz w:val="32"/>
          <w:szCs w:val="32"/>
        </w:rPr>
        <w:t>0</w:t>
      </w:r>
      <w:r>
        <w:rPr>
          <w:rFonts w:hint="eastAsia" w:ascii="仿宋_GB2312" w:eastAsia="仿宋_GB2312"/>
          <w:sz w:val="32"/>
          <w:szCs w:val="32"/>
        </w:rPr>
        <w:t>万元，无变化。</w:t>
      </w:r>
    </w:p>
    <w:p>
      <w:pPr>
        <w:ind w:firstLine="1440" w:firstLineChars="4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、因公出国费用0万，无变化。</w:t>
      </w:r>
    </w:p>
    <w:p>
      <w:pPr>
        <w:ind w:firstLine="645"/>
        <w:rPr>
          <w:rFonts w:ascii="楷体_GB2312" w:eastAsia="楷体_GB2312"/>
          <w:b/>
          <w:sz w:val="32"/>
          <w:szCs w:val="32"/>
        </w:rPr>
      </w:pPr>
      <w:r>
        <w:rPr>
          <w:rFonts w:hint="eastAsia" w:ascii="楷体_GB2312" w:eastAsia="楷体_GB2312"/>
          <w:b/>
          <w:sz w:val="32"/>
          <w:szCs w:val="32"/>
        </w:rPr>
        <w:t>五、政府性基金预算说明</w:t>
      </w:r>
    </w:p>
    <w:p>
      <w:pPr>
        <w:ind w:firstLine="645"/>
        <w:rPr>
          <w:rFonts w:ascii="仿宋_GB2312" w:eastAsia="仿宋_GB2312"/>
          <w:sz w:val="32"/>
          <w:szCs w:val="32"/>
        </w:rPr>
      </w:pPr>
      <w:r>
        <w:rPr>
          <w:rFonts w:hint="eastAsia" w:ascii="仿宋_GB2312" w:eastAsia="仿宋_GB2312"/>
          <w:sz w:val="32"/>
          <w:szCs w:val="32"/>
        </w:rPr>
        <w:t>无。</w:t>
      </w:r>
    </w:p>
    <w:p>
      <w:pPr>
        <w:ind w:firstLine="643" w:firstLineChars="200"/>
        <w:rPr>
          <w:rFonts w:ascii="楷体_GB2312" w:eastAsia="楷体_GB2312"/>
          <w:b/>
          <w:sz w:val="32"/>
          <w:szCs w:val="32"/>
        </w:rPr>
      </w:pPr>
      <w:r>
        <w:rPr>
          <w:rFonts w:hint="eastAsia" w:ascii="楷体_GB2312" w:eastAsia="楷体_GB2312"/>
          <w:b/>
          <w:sz w:val="32"/>
          <w:szCs w:val="32"/>
        </w:rPr>
        <w:t>六、部门收支表说明</w:t>
      </w:r>
    </w:p>
    <w:p>
      <w:pPr>
        <w:ind w:firstLine="640" w:firstLineChars="200"/>
        <w:rPr>
          <w:rFonts w:ascii="仿宋_GB2312" w:eastAsia="仿宋_GB2312"/>
          <w:sz w:val="32"/>
          <w:szCs w:val="32"/>
        </w:rPr>
      </w:pPr>
      <w:r>
        <w:rPr>
          <w:rFonts w:hint="eastAsia" w:ascii="仿宋_GB2312" w:eastAsia="仿宋_GB2312"/>
          <w:sz w:val="32"/>
          <w:szCs w:val="32"/>
        </w:rPr>
        <w:t>2023年总收入458.51万元，其中财政拨款458.51万元，政府性基金</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w:t>
      </w:r>
    </w:p>
    <w:p>
      <w:pPr>
        <w:ind w:firstLine="643" w:firstLineChars="200"/>
        <w:rPr>
          <w:rFonts w:ascii="楷体_GB2312" w:eastAsia="楷体_GB2312"/>
          <w:b/>
          <w:sz w:val="32"/>
          <w:szCs w:val="32"/>
        </w:rPr>
      </w:pPr>
      <w:r>
        <w:rPr>
          <w:rFonts w:hint="eastAsia" w:ascii="楷体_GB2312" w:eastAsia="楷体_GB2312"/>
          <w:b/>
          <w:sz w:val="32"/>
          <w:szCs w:val="32"/>
        </w:rPr>
        <w:t>七、部门收入总表情况</w:t>
      </w:r>
    </w:p>
    <w:p>
      <w:pPr>
        <w:ind w:firstLine="640" w:firstLineChars="200"/>
        <w:rPr>
          <w:rFonts w:ascii="仿宋_GB2312" w:eastAsia="仿宋_GB2312"/>
          <w:sz w:val="32"/>
          <w:szCs w:val="32"/>
        </w:rPr>
      </w:pPr>
      <w:r>
        <w:rPr>
          <w:rFonts w:hint="eastAsia" w:ascii="仿宋_GB2312" w:eastAsia="仿宋_GB2312"/>
          <w:sz w:val="32"/>
          <w:szCs w:val="32"/>
        </w:rPr>
        <w:t>2023总收入458.51万元，其中财政拨款458.51万元，政府性基金</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hint="eastAsia" w:ascii="仿宋_GB2312" w:eastAsia="仿宋_GB2312"/>
          <w:sz w:val="32"/>
          <w:szCs w:val="32"/>
        </w:rPr>
      </w:pPr>
      <w:r>
        <w:rPr>
          <w:rFonts w:hint="eastAsia" w:ascii="仿宋_GB2312" w:eastAsia="仿宋_GB2312"/>
          <w:sz w:val="32"/>
          <w:szCs w:val="32"/>
        </w:rPr>
        <w:t>2023年财政预算支出458.51万元，其中，基本支出322.77万元，项目支出135.74万元。</w:t>
      </w:r>
    </w:p>
    <w:p>
      <w:pPr>
        <w:ind w:firstLine="643" w:firstLineChars="200"/>
        <w:rPr>
          <w:rFonts w:ascii="楷体_GB2312" w:eastAsia="楷体_GB2312"/>
          <w:b/>
          <w:sz w:val="32"/>
          <w:szCs w:val="32"/>
        </w:rPr>
      </w:pPr>
      <w:r>
        <w:rPr>
          <w:rFonts w:hint="eastAsia" w:ascii="楷体_GB2312" w:eastAsia="楷体_GB2312"/>
          <w:b/>
          <w:sz w:val="32"/>
          <w:szCs w:val="32"/>
        </w:rPr>
        <w:t>八、部门支出总表情况</w:t>
      </w:r>
    </w:p>
    <w:p>
      <w:pPr>
        <w:ind w:firstLine="640" w:firstLineChars="200"/>
        <w:rPr>
          <w:rFonts w:ascii="仿宋_GB2312" w:eastAsia="仿宋_GB2312"/>
          <w:sz w:val="32"/>
          <w:szCs w:val="32"/>
        </w:rPr>
      </w:pPr>
      <w:r>
        <w:rPr>
          <w:rFonts w:hint="eastAsia" w:ascii="仿宋_GB2312" w:eastAsia="仿宋_GB2312"/>
          <w:sz w:val="32"/>
          <w:szCs w:val="32"/>
        </w:rPr>
        <w:t>按功能分类：一般公共服务支出458.51万元。</w:t>
      </w:r>
    </w:p>
    <w:p>
      <w:pPr>
        <w:ind w:firstLine="643" w:firstLineChars="200"/>
        <w:rPr>
          <w:rFonts w:ascii="楷体_GB2312" w:eastAsia="楷体_GB2312"/>
          <w:b/>
          <w:sz w:val="32"/>
          <w:szCs w:val="32"/>
        </w:rPr>
      </w:pPr>
      <w:r>
        <w:rPr>
          <w:rFonts w:hint="eastAsia" w:ascii="楷体_GB2312" w:eastAsia="楷体_GB2312"/>
          <w:b/>
          <w:sz w:val="32"/>
          <w:szCs w:val="32"/>
        </w:rPr>
        <w:t>九、机关运行经费支出情况</w:t>
      </w:r>
    </w:p>
    <w:p>
      <w:pPr>
        <w:ind w:firstLine="640" w:firstLineChars="200"/>
        <w:rPr>
          <w:rFonts w:ascii="仿宋_GB2312" w:eastAsia="仿宋_GB2312"/>
          <w:sz w:val="32"/>
          <w:szCs w:val="32"/>
        </w:rPr>
      </w:pPr>
      <w:r>
        <w:rPr>
          <w:rFonts w:hint="eastAsia" w:ascii="仿宋_GB2312" w:eastAsia="仿宋_GB2312"/>
          <w:sz w:val="32"/>
          <w:szCs w:val="32"/>
        </w:rPr>
        <w:t>2023年中国共产党长春市二道区委员会办公室机关运行经费财政拨款支出458.51万元。</w:t>
      </w:r>
    </w:p>
    <w:p>
      <w:pPr>
        <w:rPr>
          <w:rFonts w:ascii="楷体_GB2312" w:eastAsia="楷体_GB2312"/>
          <w:b/>
          <w:sz w:val="32"/>
          <w:szCs w:val="32"/>
        </w:rPr>
      </w:pPr>
      <w:r>
        <w:rPr>
          <w:rFonts w:ascii="仿宋_GB2312" w:eastAsia="仿宋_GB2312"/>
          <w:sz w:val="32"/>
          <w:szCs w:val="32"/>
        </w:rPr>
        <w:t xml:space="preserve">    </w:t>
      </w:r>
      <w:r>
        <w:rPr>
          <w:rFonts w:hint="eastAsia" w:ascii="楷体_GB2312" w:eastAsia="楷体_GB2312"/>
          <w:b/>
          <w:sz w:val="32"/>
          <w:szCs w:val="32"/>
        </w:rPr>
        <w:t>十、政府采购支出情况</w:t>
      </w:r>
    </w:p>
    <w:p>
      <w:pPr>
        <w:ind w:firstLine="640" w:firstLineChars="200"/>
        <w:rPr>
          <w:rFonts w:ascii="仿宋_GB2312" w:eastAsia="仿宋_GB2312"/>
          <w:sz w:val="32"/>
          <w:szCs w:val="32"/>
        </w:rPr>
      </w:pPr>
      <w:r>
        <w:rPr>
          <w:rFonts w:hint="eastAsia" w:ascii="仿宋_GB2312" w:eastAsia="仿宋_GB2312"/>
          <w:sz w:val="32"/>
          <w:szCs w:val="32"/>
        </w:rPr>
        <w:t>2023年中国共产党长春市二道区委员会办公室政府采购项目预算10万元。</w:t>
      </w:r>
    </w:p>
    <w:p>
      <w:pPr>
        <w:rPr>
          <w:rFonts w:ascii="楷体_GB2312" w:eastAsia="楷体_GB2312"/>
          <w:b/>
          <w:sz w:val="32"/>
          <w:szCs w:val="32"/>
        </w:rPr>
      </w:pPr>
      <w:r>
        <w:rPr>
          <w:rFonts w:ascii="仿宋_GB2312" w:eastAsia="仿宋_GB2312"/>
          <w:sz w:val="32"/>
          <w:szCs w:val="32"/>
        </w:rPr>
        <w:t xml:space="preserve">    </w:t>
      </w:r>
      <w:r>
        <w:rPr>
          <w:rFonts w:hint="eastAsia" w:ascii="楷体_GB2312" w:eastAsia="楷体_GB2312"/>
          <w:b/>
          <w:sz w:val="32"/>
          <w:szCs w:val="32"/>
        </w:rPr>
        <w:t>十一、国有资产占用情况</w:t>
      </w:r>
    </w:p>
    <w:p>
      <w:pPr>
        <w:ind w:firstLine="640" w:firstLineChars="200"/>
        <w:rPr>
          <w:rFonts w:ascii="仿宋_GB2312" w:eastAsia="仿宋_GB2312"/>
          <w:sz w:val="32"/>
          <w:szCs w:val="32"/>
        </w:rPr>
      </w:pPr>
      <w:r>
        <w:rPr>
          <w:rFonts w:hint="eastAsia" w:ascii="仿宋_GB2312" w:eastAsia="仿宋_GB2312"/>
          <w:sz w:val="32"/>
          <w:szCs w:val="32"/>
        </w:rPr>
        <w:t>2023年中国共产党长春市二道区委员会办公室共有车辆4辆。</w:t>
      </w:r>
    </w:p>
    <w:p>
      <w:pPr>
        <w:autoSpaceDE w:val="0"/>
        <w:autoSpaceDN w:val="0"/>
        <w:adjustRightInd w:val="0"/>
        <w:ind w:firstLine="157" w:firstLineChars="49"/>
        <w:rPr>
          <w:rFonts w:ascii="宋体" w:cs="Times New Roman"/>
          <w:b/>
          <w:bCs/>
          <w:kern w:val="0"/>
          <w:sz w:val="32"/>
          <w:szCs w:val="32"/>
        </w:rPr>
      </w:pPr>
      <w:r>
        <w:rPr>
          <w:rFonts w:hint="eastAsia" w:ascii="宋体" w:hAnsi="宋体" w:cs="宋体"/>
          <w:b/>
          <w:bCs/>
          <w:kern w:val="0"/>
          <w:sz w:val="32"/>
          <w:szCs w:val="32"/>
        </w:rPr>
        <w:t>第四部分</w:t>
      </w:r>
      <w:r>
        <w:rPr>
          <w:rFonts w:ascii="宋体" w:hAnsi="宋体" w:cs="宋体"/>
          <w:b/>
          <w:bCs/>
          <w:kern w:val="0"/>
          <w:sz w:val="32"/>
          <w:szCs w:val="32"/>
        </w:rPr>
        <w:t xml:space="preserve"> </w:t>
      </w:r>
      <w:r>
        <w:rPr>
          <w:rFonts w:hint="eastAsia" w:ascii="宋体" w:hAnsi="宋体" w:cs="宋体"/>
          <w:b/>
          <w:bCs/>
          <w:kern w:val="0"/>
          <w:sz w:val="32"/>
          <w:szCs w:val="32"/>
        </w:rPr>
        <w:t>名词解释</w:t>
      </w:r>
    </w:p>
    <w:p>
      <w:pPr>
        <w:rPr>
          <w:rFonts w:ascii="仿宋_GB2312" w:eastAsia="仿宋_GB2312"/>
          <w:sz w:val="32"/>
          <w:szCs w:val="32"/>
        </w:rPr>
      </w:pPr>
      <w:r>
        <w:rPr>
          <w:rFonts w:ascii="宋体" w:hAnsi="宋体" w:cs="宋体"/>
          <w:kern w:val="0"/>
          <w:sz w:val="32"/>
          <w:szCs w:val="32"/>
        </w:rPr>
        <w:t xml:space="preserve">    </w:t>
      </w:r>
      <w:r>
        <w:rPr>
          <w:rFonts w:hint="eastAsia" w:ascii="仿宋_GB2312" w:eastAsia="仿宋_GB2312"/>
          <w:sz w:val="32"/>
          <w:szCs w:val="32"/>
        </w:rPr>
        <w:t>一、财政拨款收入：指中央财政当年拨付的资金。</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二、基本支出：指为保障机构正常运转、完成日常工作任务而发生的人员支出和公用支出。</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四、机关运行费：为保障行政单位（包括实行公务员管理的事业单位）运行用于购买货物和服务的各项资金，包括办公及印刷费、邮电费、差旅费、会议费、日常维修费、专用材料及一般设备购置费、公务用车运行维护费以及其他费用。</w:t>
      </w:r>
    </w:p>
    <w:p>
      <w:pPr>
        <w:autoSpaceDE w:val="0"/>
        <w:autoSpaceDN w:val="0"/>
        <w:adjustRightInd w:val="0"/>
        <w:rPr>
          <w:rFonts w:ascii="宋体" w:cs="Times New Roman"/>
          <w:kern w:val="0"/>
          <w:sz w:val="32"/>
          <w:szCs w:val="32"/>
        </w:rPr>
      </w:pPr>
    </w:p>
    <w:p>
      <w:pPr>
        <w:autoSpaceDE w:val="0"/>
        <w:autoSpaceDN w:val="0"/>
        <w:adjustRightInd w:val="0"/>
        <w:rPr>
          <w:rFonts w:ascii="宋体" w:cs="Times New Roman"/>
          <w:kern w:val="0"/>
          <w:sz w:val="32"/>
          <w:szCs w:val="32"/>
        </w:rPr>
      </w:pPr>
      <w:r>
        <w:rPr>
          <w:rFonts w:hint="eastAsia" w:ascii="宋体" w:hAnsi="宋体" w:cs="宋体"/>
          <w:color w:val="3E3E3E"/>
          <w:kern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zMjI0MzJkYWY5NGVhNWUxZWVjZjRlNjk0MzkxZDkifQ=="/>
  </w:docVars>
  <w:rsids>
    <w:rsidRoot w:val="00AC598A"/>
    <w:rsid w:val="000150E7"/>
    <w:rsid w:val="00016F38"/>
    <w:rsid w:val="0001704A"/>
    <w:rsid w:val="00063B1C"/>
    <w:rsid w:val="00075C6E"/>
    <w:rsid w:val="000A1373"/>
    <w:rsid w:val="000F087E"/>
    <w:rsid w:val="00102AEA"/>
    <w:rsid w:val="00112E35"/>
    <w:rsid w:val="001A03DE"/>
    <w:rsid w:val="001A067E"/>
    <w:rsid w:val="001C3DB7"/>
    <w:rsid w:val="001D6927"/>
    <w:rsid w:val="001D764C"/>
    <w:rsid w:val="001E1757"/>
    <w:rsid w:val="001F4768"/>
    <w:rsid w:val="002A7FBA"/>
    <w:rsid w:val="00300EEC"/>
    <w:rsid w:val="003457BE"/>
    <w:rsid w:val="0035248F"/>
    <w:rsid w:val="00381A8C"/>
    <w:rsid w:val="003A7ECF"/>
    <w:rsid w:val="00415BBF"/>
    <w:rsid w:val="00437D6A"/>
    <w:rsid w:val="004415A0"/>
    <w:rsid w:val="0050084A"/>
    <w:rsid w:val="00520680"/>
    <w:rsid w:val="005211A3"/>
    <w:rsid w:val="005238B0"/>
    <w:rsid w:val="0057123B"/>
    <w:rsid w:val="005759CD"/>
    <w:rsid w:val="005819EE"/>
    <w:rsid w:val="005C178A"/>
    <w:rsid w:val="00614FF8"/>
    <w:rsid w:val="00626C72"/>
    <w:rsid w:val="0066668B"/>
    <w:rsid w:val="006B7561"/>
    <w:rsid w:val="006E2BEF"/>
    <w:rsid w:val="00720D92"/>
    <w:rsid w:val="00732B62"/>
    <w:rsid w:val="00743B2F"/>
    <w:rsid w:val="00762C61"/>
    <w:rsid w:val="007E11D4"/>
    <w:rsid w:val="0081262A"/>
    <w:rsid w:val="008718E6"/>
    <w:rsid w:val="00875658"/>
    <w:rsid w:val="008960D1"/>
    <w:rsid w:val="00932835"/>
    <w:rsid w:val="00997711"/>
    <w:rsid w:val="009F53FD"/>
    <w:rsid w:val="00A2531E"/>
    <w:rsid w:val="00A351CA"/>
    <w:rsid w:val="00AA71A4"/>
    <w:rsid w:val="00AB0186"/>
    <w:rsid w:val="00AB23A3"/>
    <w:rsid w:val="00AC2605"/>
    <w:rsid w:val="00AC598A"/>
    <w:rsid w:val="00AC6007"/>
    <w:rsid w:val="00AD2E46"/>
    <w:rsid w:val="00AE1000"/>
    <w:rsid w:val="00B37860"/>
    <w:rsid w:val="00B623E3"/>
    <w:rsid w:val="00B71F68"/>
    <w:rsid w:val="00B80A2E"/>
    <w:rsid w:val="00C30AE4"/>
    <w:rsid w:val="00C75415"/>
    <w:rsid w:val="00CC5F4E"/>
    <w:rsid w:val="00D12D6C"/>
    <w:rsid w:val="00D4224E"/>
    <w:rsid w:val="00D5067E"/>
    <w:rsid w:val="00D56901"/>
    <w:rsid w:val="00DC4B07"/>
    <w:rsid w:val="00DD67BC"/>
    <w:rsid w:val="00DF2DDB"/>
    <w:rsid w:val="00E63DCC"/>
    <w:rsid w:val="00EB0DF0"/>
    <w:rsid w:val="00ED2B29"/>
    <w:rsid w:val="00F331A5"/>
    <w:rsid w:val="00F46B58"/>
    <w:rsid w:val="00F46C87"/>
    <w:rsid w:val="00F94E66"/>
    <w:rsid w:val="03B64C1C"/>
    <w:rsid w:val="0A4320A1"/>
    <w:rsid w:val="17635B51"/>
    <w:rsid w:val="1A0E2CA4"/>
    <w:rsid w:val="1B075C1C"/>
    <w:rsid w:val="22057A5E"/>
    <w:rsid w:val="254C2FF9"/>
    <w:rsid w:val="29D905F7"/>
    <w:rsid w:val="30422506"/>
    <w:rsid w:val="332009F7"/>
    <w:rsid w:val="33A16F2C"/>
    <w:rsid w:val="33DC5E8C"/>
    <w:rsid w:val="43EF535D"/>
    <w:rsid w:val="51444915"/>
    <w:rsid w:val="53C42C27"/>
    <w:rsid w:val="638E7A78"/>
    <w:rsid w:val="6EB2751C"/>
    <w:rsid w:val="79EF291C"/>
    <w:rsid w:val="7BB63D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rPr>
      <w:rFonts w:ascii="Times New Roman" w:hAnsi="Times New Roman" w:cs="Times New Roman"/>
      <w:sz w:val="24"/>
      <w:szCs w:val="24"/>
    </w:rPr>
  </w:style>
  <w:style w:type="character" w:customStyle="1" w:styleId="8">
    <w:name w:val="页眉 字符"/>
    <w:basedOn w:val="7"/>
    <w:link w:val="4"/>
    <w:semiHidden/>
    <w:qFormat/>
    <w:locked/>
    <w:uiPriority w:val="99"/>
    <w:rPr>
      <w:sz w:val="18"/>
      <w:szCs w:val="18"/>
    </w:rPr>
  </w:style>
  <w:style w:type="character" w:customStyle="1" w:styleId="9">
    <w:name w:val="页脚 字符"/>
    <w:basedOn w:val="7"/>
    <w:link w:val="3"/>
    <w:semiHidden/>
    <w:qFormat/>
    <w:locked/>
    <w:uiPriority w:val="99"/>
    <w:rPr>
      <w:sz w:val="18"/>
      <w:szCs w:val="18"/>
    </w:rPr>
  </w:style>
  <w:style w:type="character" w:customStyle="1" w:styleId="10">
    <w:name w:val="font2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font01"/>
    <w:basedOn w:val="7"/>
    <w:qFormat/>
    <w:uiPriority w:val="0"/>
    <w:rPr>
      <w:rFonts w:hint="default" w:ascii="Arial" w:hAnsi="Arial" w:cs="Arial"/>
      <w:color w:val="000000"/>
      <w:sz w:val="20"/>
      <w:szCs w:val="20"/>
      <w:u w:val="none"/>
    </w:rPr>
  </w:style>
  <w:style w:type="character" w:customStyle="1" w:styleId="13">
    <w:name w:val="font11"/>
    <w:basedOn w:val="7"/>
    <w:qFormat/>
    <w:uiPriority w:val="0"/>
    <w:rPr>
      <w:rFonts w:hint="eastAsia" w:ascii="宋体" w:hAnsi="宋体" w:eastAsia="宋体" w:cs="宋体"/>
      <w:color w:val="000000"/>
      <w:sz w:val="20"/>
      <w:szCs w:val="20"/>
      <w:u w:val="none"/>
    </w:rPr>
  </w:style>
  <w:style w:type="character" w:customStyle="1" w:styleId="14">
    <w:name w:val="批注框文本 字符"/>
    <w:basedOn w:val="7"/>
    <w:link w:val="2"/>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3170</Words>
  <Characters>3850</Characters>
  <Lines>40</Lines>
  <Paragraphs>11</Paragraphs>
  <TotalTime>39</TotalTime>
  <ScaleCrop>false</ScaleCrop>
  <LinksUpToDate>false</LinksUpToDate>
  <CharactersWithSpaces>4270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cp:lastPrinted>2023-06-26T07:04:00Z</cp:lastPrinted>
  <dcterms:modified xsi:type="dcterms:W3CDTF">2023-01-09T02:33:49Z</dcterms:modified>
  <dc:title>2017年长春市工业和信息化局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B7B97C2EAC2442F38F40ECBF420A553F</vt:lpwstr>
  </property>
</Properties>
</file>