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rPr>
        <w:t>20</w:t>
      </w:r>
      <w:r>
        <w:rPr>
          <w:rFonts w:hint="eastAsia" w:ascii="仿宋" w:hAnsi="仿宋" w:eastAsia="仿宋" w:cs="仿宋"/>
          <w:sz w:val="44"/>
          <w:szCs w:val="44"/>
          <w:lang w:val="en-US" w:eastAsia="zh-CN"/>
        </w:rPr>
        <w:t>23</w:t>
      </w:r>
      <w:r>
        <w:rPr>
          <w:rFonts w:hint="eastAsia" w:ascii="仿宋" w:hAnsi="仿宋" w:eastAsia="仿宋" w:cs="仿宋"/>
          <w:sz w:val="44"/>
          <w:szCs w:val="44"/>
        </w:rPr>
        <w:t>年</w:t>
      </w:r>
      <w:r>
        <w:rPr>
          <w:rFonts w:hint="eastAsia" w:ascii="仿宋" w:hAnsi="仿宋" w:eastAsia="仿宋" w:cs="仿宋"/>
          <w:sz w:val="44"/>
          <w:szCs w:val="44"/>
          <w:lang w:eastAsia="zh-CN"/>
        </w:rPr>
        <w:t>中共长春市二道区委统一战线工作部</w:t>
      </w:r>
      <w:r>
        <w:rPr>
          <w:rFonts w:hint="eastAsia" w:ascii="仿宋" w:hAnsi="仿宋" w:eastAsia="仿宋" w:cs="仿宋"/>
          <w:sz w:val="44"/>
          <w:szCs w:val="44"/>
        </w:rPr>
        <w:t>部门预算</w:t>
      </w: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bookmarkStart w:id="0" w:name="_GoBack"/>
      <w:bookmarkEnd w:id="0"/>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二〇二三年一月九日</w:t>
      </w:r>
    </w:p>
    <w:p>
      <w:pPr>
        <w:spacing w:line="540" w:lineRule="exact"/>
        <w:jc w:val="center"/>
        <w:outlineLvl w:val="1"/>
        <w:rPr>
          <w:rFonts w:ascii="方正小标宋简体" w:hAnsi="方正小标宋简体" w:eastAsia="方正小标宋简体" w:cs="Times New Roman"/>
          <w:sz w:val="44"/>
          <w:szCs w:val="44"/>
        </w:rPr>
      </w:pPr>
      <w:r>
        <w:rPr>
          <w:rFonts w:hint="eastAsia" w:ascii="仿宋" w:hAnsi="仿宋" w:eastAsia="仿宋" w:cs="仿宋"/>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w:t>
      </w:r>
      <w:r>
        <w:rPr>
          <w:rFonts w:hint="eastAsia" w:ascii="黑体" w:hAnsi="黑体" w:eastAsia="黑体" w:cs="黑体"/>
          <w:sz w:val="32"/>
          <w:szCs w:val="32"/>
          <w:lang w:val="en-US" w:eastAsia="zh-CN"/>
        </w:rPr>
        <w:t>23</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年部门支出总表情况</w:t>
      </w:r>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r>
        <w:rPr>
          <w:rFonts w:hint="eastAsia" w:ascii="宋体" w:hAnsi="宋体" w:cs="宋体"/>
          <w:sz w:val="44"/>
          <w:szCs w:val="44"/>
          <w:lang w:eastAsia="zh-CN"/>
        </w:rPr>
        <w:t>202</w:t>
      </w:r>
      <w:r>
        <w:rPr>
          <w:rFonts w:hint="eastAsia" w:ascii="宋体" w:hAnsi="宋体" w:cs="宋体"/>
          <w:sz w:val="44"/>
          <w:szCs w:val="44"/>
          <w:lang w:val="en-US" w:eastAsia="zh-CN"/>
        </w:rPr>
        <w:t>3</w:t>
      </w:r>
      <w:r>
        <w:rPr>
          <w:rFonts w:hint="eastAsia" w:ascii="宋体" w:hAnsi="宋体" w:cs="宋体"/>
          <w:sz w:val="44"/>
          <w:szCs w:val="44"/>
        </w:rPr>
        <w:t>年度</w:t>
      </w:r>
      <w:r>
        <w:rPr>
          <w:rFonts w:hint="eastAsia" w:ascii="宋体" w:hAnsi="宋体" w:cs="宋体"/>
          <w:sz w:val="44"/>
          <w:szCs w:val="44"/>
          <w:lang w:eastAsia="zh-CN"/>
        </w:rPr>
        <w:t>中共</w:t>
      </w:r>
      <w:r>
        <w:rPr>
          <w:rFonts w:hint="eastAsia" w:ascii="宋体" w:hAnsi="宋体" w:cs="宋体"/>
          <w:sz w:val="44"/>
          <w:szCs w:val="44"/>
        </w:rPr>
        <w:t>长春市</w:t>
      </w:r>
      <w:r>
        <w:rPr>
          <w:rFonts w:hint="eastAsia" w:ascii="宋体" w:hAnsi="宋体" w:cs="宋体"/>
          <w:sz w:val="44"/>
          <w:szCs w:val="44"/>
          <w:lang w:eastAsia="zh-CN"/>
        </w:rPr>
        <w:t>二道区委统一战线工作部</w:t>
      </w:r>
      <w:r>
        <w:rPr>
          <w:rFonts w:hint="eastAsia" w:ascii="宋体" w:hAnsi="宋体" w:cs="宋体"/>
          <w:sz w:val="44"/>
          <w:szCs w:val="44"/>
        </w:rPr>
        <w:t>部门预算</w:t>
      </w:r>
    </w:p>
    <w:p>
      <w:pPr>
        <w:widowControl/>
        <w:spacing w:before="100" w:beforeAutospacing="1" w:after="100" w:afterAutospacing="1" w:line="360" w:lineRule="auto"/>
        <w:jc w:val="center"/>
        <w:rPr>
          <w:rFonts w:ascii="宋体" w:cs="Times New Roman"/>
          <w:color w:val="3E3E3E"/>
          <w:kern w:val="0"/>
          <w:sz w:val="18"/>
          <w:szCs w:val="18"/>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ind w:firstLine="645"/>
        <w:rPr>
          <w:rFonts w:ascii="Times New Roman" w:hAnsi="Times New Roman" w:eastAsia="仿宋" w:cs="Times New Roman"/>
          <w:sz w:val="32"/>
          <w:szCs w:val="32"/>
        </w:rPr>
      </w:pPr>
      <w:r>
        <w:rPr>
          <w:rFonts w:hint="eastAsia" w:ascii="宋体" w:hAnsi="宋体" w:cs="宋体"/>
          <w:color w:val="3E3E3E"/>
          <w:kern w:val="0"/>
          <w:sz w:val="32"/>
          <w:szCs w:val="32"/>
        </w:rPr>
        <w:t>　</w:t>
      </w:r>
      <w:r>
        <w:rPr>
          <w:rFonts w:hint="eastAsia" w:ascii="Times New Roman" w:hAnsi="Times New Roman" w:eastAsia="仿宋" w:cs="Times New Roman"/>
          <w:sz w:val="32"/>
          <w:szCs w:val="32"/>
        </w:rPr>
        <w:t>中共长春市二道区委统一战线工作部（以下简称区委统战部）</w:t>
      </w:r>
      <w:r>
        <w:rPr>
          <w:rFonts w:ascii="Times New Roman" w:hAnsi="Times New Roman" w:eastAsia="仿宋" w:cs="Times New Roman"/>
          <w:sz w:val="32"/>
          <w:szCs w:val="32"/>
        </w:rPr>
        <w:t>是</w:t>
      </w:r>
      <w:r>
        <w:rPr>
          <w:rFonts w:hint="eastAsia" w:ascii="Times New Roman" w:hAnsi="Times New Roman" w:eastAsia="仿宋" w:cs="Times New Roman"/>
          <w:sz w:val="32"/>
          <w:szCs w:val="32"/>
        </w:rPr>
        <w:t>区委主管统一战线工作和对台工作的职能</w:t>
      </w:r>
      <w:r>
        <w:rPr>
          <w:rFonts w:ascii="Times New Roman" w:hAnsi="Times New Roman" w:eastAsia="仿宋" w:cs="Times New Roman"/>
          <w:sz w:val="32"/>
          <w:szCs w:val="32"/>
        </w:rPr>
        <w:t>部门，为</w:t>
      </w:r>
      <w:r>
        <w:rPr>
          <w:rFonts w:hint="eastAsia" w:ascii="Times New Roman" w:hAnsi="Times New Roman" w:eastAsia="仿宋" w:cs="Times New Roman"/>
          <w:sz w:val="32"/>
          <w:szCs w:val="32"/>
        </w:rPr>
        <w:t>正处</w:t>
      </w:r>
      <w:r>
        <w:rPr>
          <w:rFonts w:ascii="Times New Roman" w:hAnsi="Times New Roman" w:eastAsia="仿宋" w:cs="Times New Roman"/>
          <w:sz w:val="32"/>
          <w:szCs w:val="32"/>
        </w:rPr>
        <w:t>级，</w:t>
      </w:r>
      <w:r>
        <w:rPr>
          <w:rFonts w:hint="eastAsia" w:ascii="Times New Roman" w:hAnsi="Times New Roman" w:eastAsia="仿宋" w:cs="Times New Roman"/>
          <w:sz w:val="32"/>
          <w:szCs w:val="32"/>
        </w:rPr>
        <w:t>统一领导和管理民族宗教、侨务工作</w:t>
      </w:r>
      <w:r>
        <w:rPr>
          <w:rFonts w:ascii="Times New Roman" w:hAnsi="Times New Roman" w:eastAsia="仿宋" w:cs="Times New Roman"/>
          <w:sz w:val="32"/>
          <w:szCs w:val="32"/>
        </w:rPr>
        <w:t>。</w:t>
      </w:r>
      <w:r>
        <w:rPr>
          <w:rFonts w:hint="eastAsia" w:ascii="Times New Roman" w:hAnsi="Times New Roman" w:eastAsia="仿宋" w:cs="Times New Roman"/>
          <w:sz w:val="32"/>
          <w:szCs w:val="32"/>
        </w:rPr>
        <w:t>对外加挂区民族宗教事务局、区政府侨务办公室牌子。</w:t>
      </w:r>
    </w:p>
    <w:p>
      <w:pPr>
        <w:ind w:firstLine="645"/>
        <w:rPr>
          <w:rFonts w:ascii="Times New Roman" w:hAnsi="Times New Roman" w:eastAsia="仿宋" w:cs="Times New Roman"/>
          <w:sz w:val="32"/>
          <w:szCs w:val="32"/>
        </w:rPr>
      </w:pPr>
      <w:r>
        <w:rPr>
          <w:rFonts w:hint="eastAsia" w:ascii="Times New Roman" w:hAnsi="Times New Roman" w:eastAsia="仿宋" w:cs="Times New Roman"/>
          <w:sz w:val="32"/>
          <w:szCs w:val="32"/>
        </w:rPr>
        <w:t>区委统一战线工作领导小组办公室设在区委统战部。</w:t>
      </w:r>
    </w:p>
    <w:p>
      <w:pPr>
        <w:ind w:firstLine="645"/>
        <w:rPr>
          <w:rFonts w:ascii="Times New Roman" w:hAnsi="Times New Roman" w:eastAsia="仿宋" w:cs="Times New Roman"/>
          <w:sz w:val="32"/>
          <w:szCs w:val="32"/>
        </w:rPr>
      </w:pPr>
      <w:r>
        <w:rPr>
          <w:rFonts w:hint="eastAsia" w:ascii="Times New Roman" w:hAnsi="Times New Roman" w:eastAsia="仿宋" w:cs="Times New Roman"/>
          <w:sz w:val="32"/>
          <w:szCs w:val="32"/>
        </w:rPr>
        <w:t>区委统战部</w:t>
      </w:r>
      <w:r>
        <w:rPr>
          <w:rFonts w:ascii="Times New Roman" w:hAnsi="Times New Roman" w:eastAsia="仿宋" w:cs="Times New Roman"/>
          <w:sz w:val="32"/>
          <w:szCs w:val="32"/>
        </w:rPr>
        <w:t>的主要职责是：</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和落实中央和省、市、区委关于统一战线工作重大决策部署，巩固壮大最广泛的统一战线。</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（二）</w:t>
      </w:r>
      <w:r>
        <w:rPr>
          <w:rFonts w:hint="eastAsia" w:ascii="仿宋" w:hAnsi="仿宋" w:eastAsia="仿宋" w:cs="Times New Roman"/>
          <w:sz w:val="32"/>
          <w:szCs w:val="32"/>
        </w:rPr>
        <w:t>贯彻落实统一战线工作的理论、政策和法律法规，深入调查研究，及时向区委报告统一战线工作情况并提出建议，统筹协调各部门各单位统一战线工作。</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（三）</w:t>
      </w:r>
      <w:r>
        <w:rPr>
          <w:rFonts w:hint="eastAsia" w:ascii="Times New Roman" w:hAnsi="Times New Roman" w:eastAsia="仿宋" w:cs="Times New Roman"/>
          <w:sz w:val="32"/>
          <w:szCs w:val="32"/>
        </w:rPr>
        <w:t>负责发现、培养党外代表人士，负责党外人士的政治安排，会同有关部门做好安排党外人士担任政府和司法机关等领导职务的工作，协助区级各民主党派、工商联做好干部管理工作，反映和协调解决党外代表人士工作生活中的实际困难。</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（四）贯彻落实党的宣传工作方针、政策和规划，开展统一战线宣传工作，研判涉及统一战线的舆情并协调有关部门应对处置。</w:t>
      </w:r>
    </w:p>
    <w:p>
      <w:pPr>
        <w:rPr>
          <w:rFonts w:ascii="仿宋" w:hAnsi="仿宋" w:eastAsia="仿宋" w:cs="Times New Roman"/>
          <w:sz w:val="32"/>
          <w:szCs w:val="32"/>
        </w:rPr>
      </w:pPr>
      <w:r>
        <w:rPr>
          <w:rFonts w:hint="eastAsia" w:ascii="仿宋" w:hAnsi="仿宋" w:eastAsia="仿宋" w:cs="Times New Roman"/>
          <w:sz w:val="32"/>
          <w:szCs w:val="32"/>
        </w:rPr>
        <w:t xml:space="preserve">   （五）负责联系各民主党派，通报情况、反映意见，贯彻落实中国共产党领导的多党合作和政治协商制度以及对民主党派的方针政策，支持、帮助民主党派加强自身建设，做好支持民主党派履行职责、发挥作用的工作。</w:t>
      </w:r>
    </w:p>
    <w:p>
      <w:pPr>
        <w:rPr>
          <w:rFonts w:ascii="仿宋" w:hAnsi="仿宋" w:eastAsia="仿宋" w:cs="Times New Roman"/>
          <w:sz w:val="32"/>
          <w:szCs w:val="32"/>
        </w:rPr>
      </w:pPr>
      <w:r>
        <w:rPr>
          <w:rFonts w:hint="eastAsia" w:ascii="仿宋" w:hAnsi="仿宋" w:eastAsia="仿宋" w:cs="Times New Roman"/>
          <w:sz w:val="32"/>
          <w:szCs w:val="32"/>
        </w:rPr>
        <w:t xml:space="preserve">    （六）贯彻落实党的民族工作方针、政策和重大措施，协调处理民族工作中的重大问题，根据分工做好少数民族干部工作，依法管理全区民族事务，全面促进民族事业发展。</w:t>
      </w:r>
    </w:p>
    <w:p>
      <w:pPr>
        <w:rPr>
          <w:rFonts w:ascii="仿宋" w:hAnsi="仿宋" w:eastAsia="仿宋" w:cs="Times New Roman"/>
          <w:sz w:val="32"/>
          <w:szCs w:val="32"/>
        </w:rPr>
      </w:pPr>
      <w:r>
        <w:rPr>
          <w:rFonts w:hint="eastAsia" w:ascii="仿宋" w:hAnsi="仿宋" w:eastAsia="仿宋" w:cs="Times New Roman"/>
          <w:sz w:val="32"/>
          <w:szCs w:val="32"/>
        </w:rPr>
        <w:t xml:space="preserve">    （七）统一领导全区宗教工作，贯彻落实党的宗教工作基本方针和政策，依法管理宗教工作，引导各宗教坚持中国化方向，巩固和发展同宗教界的爱国统一战线。</w:t>
      </w:r>
    </w:p>
    <w:p>
      <w:pPr>
        <w:rPr>
          <w:rFonts w:ascii="仿宋" w:hAnsi="仿宋" w:eastAsia="仿宋" w:cs="Times New Roman"/>
          <w:sz w:val="32"/>
          <w:szCs w:val="32"/>
        </w:rPr>
      </w:pPr>
      <w:r>
        <w:rPr>
          <w:rFonts w:hint="eastAsia" w:ascii="仿宋" w:hAnsi="仿宋" w:eastAsia="仿宋" w:cs="Times New Roman"/>
          <w:sz w:val="32"/>
          <w:szCs w:val="32"/>
        </w:rPr>
        <w:t xml:space="preserve">    （八）负责联系、培养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w:t>
      </w:r>
    </w:p>
    <w:p>
      <w:pPr>
        <w:rPr>
          <w:rFonts w:ascii="仿宋" w:hAnsi="仿宋" w:eastAsia="仿宋" w:cs="Times New Roman"/>
          <w:sz w:val="32"/>
          <w:szCs w:val="32"/>
        </w:rPr>
      </w:pPr>
      <w:r>
        <w:rPr>
          <w:rFonts w:hint="eastAsia" w:ascii="仿宋" w:hAnsi="仿宋" w:eastAsia="仿宋" w:cs="Times New Roman"/>
          <w:sz w:val="32"/>
          <w:szCs w:val="32"/>
        </w:rPr>
        <w:t xml:space="preserve">   （九）推动落实鼓励支持引导非公有制经济发展的方针政策，调查研究非公有制经济人士情况并提出政策建议，了解和反映非公有制经济人士的意见，团结、服务、引导、教育非公有制经济人士，促进非公有制经济健康发展和非公有制经济人士健康成长。</w:t>
      </w:r>
    </w:p>
    <w:p>
      <w:pPr>
        <w:rPr>
          <w:rFonts w:ascii="仿宋" w:hAnsi="仿宋" w:eastAsia="仿宋" w:cs="Times New Roman"/>
          <w:sz w:val="32"/>
          <w:szCs w:val="32"/>
        </w:rPr>
      </w:pPr>
      <w:r>
        <w:rPr>
          <w:rFonts w:hint="eastAsia" w:ascii="仿宋" w:hAnsi="仿宋" w:eastAsia="仿宋" w:cs="Times New Roman"/>
          <w:sz w:val="32"/>
          <w:szCs w:val="32"/>
        </w:rPr>
        <w:t xml:space="preserve">    （十）牵头开展港澳统战工作，开展对台统战工作。贯彻落实海外统战工作政策和规划，联系香港、澳门、台湾有关党派、团体及代表人士，联系海外有关社团及代表人士，做好台胞、台属有关工作。</w:t>
      </w:r>
    </w:p>
    <w:p>
      <w:pPr>
        <w:rPr>
          <w:rFonts w:ascii="仿宋" w:hAnsi="仿宋" w:eastAsia="仿宋" w:cs="Times New Roman"/>
          <w:sz w:val="32"/>
          <w:szCs w:val="32"/>
        </w:rPr>
      </w:pPr>
      <w:r>
        <w:rPr>
          <w:rFonts w:hint="eastAsia" w:ascii="仿宋" w:hAnsi="仿宋" w:eastAsia="仿宋" w:cs="Times New Roman"/>
          <w:sz w:val="32"/>
          <w:szCs w:val="32"/>
        </w:rPr>
        <w:t xml:space="preserve">    （十一）统一管理全区侨务工作，贯彻落实党的侨务工作方针政策、规划，调查研究区内外侨情和侨务工作情况，管理侨务行政事务，统筹协调有关部门和社会团体涉侨工作，联系海外有关侨团和代表人士，指导推动涉侨宣传、文化交流工作等，保护华侨和归侨侨眷在国内的合法权利和利益。</w:t>
      </w:r>
    </w:p>
    <w:p>
      <w:pPr>
        <w:rPr>
          <w:rFonts w:ascii="Times New Roman" w:hAnsi="Times New Roman" w:eastAsia="仿宋" w:cs="Times New Roman"/>
          <w:sz w:val="32"/>
          <w:szCs w:val="32"/>
        </w:rPr>
      </w:pPr>
      <w:r>
        <w:rPr>
          <w:rFonts w:hint="eastAsia" w:ascii="仿宋" w:hAnsi="仿宋" w:eastAsia="仿宋" w:cs="Times New Roman"/>
          <w:sz w:val="32"/>
          <w:szCs w:val="32"/>
        </w:rPr>
        <w:t xml:space="preserve">    （十二）受区委委托，领导区工商联党组，指导工商联工作。做好统一战线有关团体的管理工作，管理区台湾同胞联谊会，联系、指导区归国华侨联合会工作。</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Times New Roman" w:hAnsi="Times New Roman" w:eastAsia="仿宋" w:cs="Times New Roman"/>
          <w:sz w:val="32"/>
          <w:szCs w:val="32"/>
        </w:rPr>
        <w:t xml:space="preserve">   （十三）完成区委交办的其他任务。</w:t>
      </w:r>
    </w:p>
    <w:tbl>
      <w:tblPr>
        <w:tblStyle w:val="5"/>
        <w:tblW w:w="7215" w:type="dxa"/>
        <w:jc w:val="center"/>
        <w:tblCellSpacing w:w="0" w:type="dxa"/>
        <w:tblLayout w:type="fixed"/>
        <w:tblCellMar>
          <w:top w:w="0" w:type="dxa"/>
          <w:left w:w="0" w:type="dxa"/>
          <w:bottom w:w="0" w:type="dxa"/>
          <w:right w:w="0" w:type="dxa"/>
        </w:tblCellMar>
      </w:tblPr>
      <w:tblGrid>
        <w:gridCol w:w="7215"/>
      </w:tblGrid>
      <w:tr>
        <w:tblPrEx>
          <w:tblCellMar>
            <w:top w:w="0" w:type="dxa"/>
            <w:left w:w="0" w:type="dxa"/>
            <w:bottom w:w="0" w:type="dxa"/>
            <w:right w:w="0" w:type="dxa"/>
          </w:tblCellMar>
        </w:tblPrEx>
        <w:trPr>
          <w:trHeight w:val="420" w:hRule="atLeast"/>
          <w:tblCellSpacing w:w="0" w:type="dxa"/>
          <w:jc w:val="center"/>
        </w:trPr>
        <w:tc>
          <w:tcPr>
            <w:tcW w:w="7215" w:type="dxa"/>
            <w:vAlign w:val="center"/>
          </w:tcPr>
          <w:p>
            <w:pPr>
              <w:widowControl/>
              <w:spacing w:after="380"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二、内设机构</w:t>
            </w:r>
          </w:p>
        </w:tc>
      </w:tr>
      <w:tr>
        <w:tblPrEx>
          <w:tblCellMar>
            <w:top w:w="0" w:type="dxa"/>
            <w:left w:w="0" w:type="dxa"/>
            <w:bottom w:w="0" w:type="dxa"/>
            <w:right w:w="0" w:type="dxa"/>
          </w:tblCellMar>
        </w:tblPrEx>
        <w:trPr>
          <w:trHeight w:val="420" w:hRule="atLeast"/>
          <w:tblCellSpacing w:w="0" w:type="dxa"/>
          <w:jc w:val="center"/>
        </w:trPr>
        <w:tc>
          <w:tcPr>
            <w:tcW w:w="7215" w:type="dxa"/>
            <w:vAlign w:val="center"/>
          </w:tcPr>
          <w:p>
            <w:pPr>
              <w:rPr>
                <w:rFonts w:ascii="仿宋_GB2312" w:eastAsia="仿宋_GB2312"/>
                <w:sz w:val="32"/>
                <w:szCs w:val="32"/>
              </w:rPr>
            </w:pPr>
            <w:r>
              <w:rPr>
                <w:rFonts w:hint="eastAsia" w:ascii="宋体" w:hAnsi="宋体" w:cs="宋体"/>
                <w:color w:val="3E3E3E"/>
                <w:kern w:val="0"/>
                <w:sz w:val="32"/>
                <w:szCs w:val="32"/>
              </w:rPr>
              <w:t>（</w:t>
            </w:r>
            <w:r>
              <w:rPr>
                <w:rFonts w:ascii="Times New Roman" w:hAnsi="Times New Roman" w:eastAsia="仿宋" w:cs="Times New Roman"/>
                <w:sz w:val="32"/>
                <w:szCs w:val="32"/>
              </w:rPr>
              <w:t>（一）</w:t>
            </w:r>
            <w:r>
              <w:rPr>
                <w:rFonts w:hint="eastAsia" w:ascii="Times New Roman" w:hAnsi="Times New Roman" w:eastAsia="仿宋" w:cs="Times New Roman"/>
                <w:sz w:val="32"/>
                <w:szCs w:val="32"/>
              </w:rPr>
              <w:t>综合指导科</w:t>
            </w:r>
            <w:r>
              <w:rPr>
                <w:rFonts w:ascii="Times New Roman" w:hAnsi="Times New Roman" w:eastAsia="仿宋" w:cs="Times New Roman"/>
                <w:sz w:val="32"/>
                <w:szCs w:val="32"/>
              </w:rPr>
              <w:t>。负责机关日常运转工作</w:t>
            </w:r>
            <w:r>
              <w:rPr>
                <w:rFonts w:hint="eastAsia" w:ascii="Times New Roman" w:hAnsi="Times New Roman" w:eastAsia="仿宋" w:cs="Times New Roman"/>
                <w:sz w:val="32"/>
                <w:szCs w:val="32"/>
              </w:rPr>
              <w:t>；负责</w:t>
            </w:r>
            <w:r>
              <w:rPr>
                <w:rFonts w:hint="eastAsia" w:ascii="仿宋_GB2312" w:eastAsia="仿宋_GB2312"/>
                <w:sz w:val="32"/>
                <w:szCs w:val="32"/>
              </w:rPr>
              <w:t>联系区级各民主党派和无党派；联系并培养党外知识分子代表人物，负责加强新的社会阶层人士统战工作；负责党外干部队伍建设工作；负责非公有制经济人士统战工作；</w:t>
            </w:r>
            <w:r>
              <w:rPr>
                <w:rFonts w:hint="eastAsia" w:ascii="Times New Roman" w:hAnsi="Times New Roman" w:eastAsia="仿宋" w:cs="Times New Roman"/>
                <w:sz w:val="32"/>
                <w:szCs w:val="32"/>
              </w:rPr>
              <w:t>负责联系香港、澳门、海外有关社团及代表人士；</w:t>
            </w:r>
            <w:r>
              <w:rPr>
                <w:rFonts w:hint="eastAsia" w:ascii="仿宋_GB2312" w:eastAsia="仿宋_GB2312"/>
                <w:sz w:val="32"/>
                <w:szCs w:val="32"/>
              </w:rPr>
              <w:t>负责开展对台宣传、教育工作，</w:t>
            </w:r>
            <w:r>
              <w:rPr>
                <w:rFonts w:hint="eastAsia" w:ascii="Times New Roman" w:hAnsi="Times New Roman" w:eastAsia="仿宋" w:cs="Times New Roman"/>
                <w:sz w:val="32"/>
                <w:szCs w:val="32"/>
              </w:rPr>
              <w:t>做好台胞台属的有关工作；负责管理侨务工作。</w:t>
            </w:r>
          </w:p>
          <w:p>
            <w:pPr>
              <w:rPr>
                <w:rFonts w:ascii="仿宋" w:hAnsi="仿宋" w:eastAsia="仿宋" w:cs="Times New Roman"/>
                <w:sz w:val="32"/>
                <w:szCs w:val="32"/>
              </w:rPr>
            </w:pP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（二）</w:t>
            </w:r>
            <w:r>
              <w:rPr>
                <w:rFonts w:hint="eastAsia" w:ascii="Times New Roman" w:hAnsi="Times New Roman" w:eastAsia="仿宋" w:cs="Times New Roman"/>
                <w:sz w:val="32"/>
                <w:szCs w:val="32"/>
              </w:rPr>
              <w:t>民族宗教</w:t>
            </w:r>
            <w:r>
              <w:rPr>
                <w:rFonts w:ascii="Times New Roman" w:hAnsi="Times New Roman" w:eastAsia="仿宋" w:cs="Times New Roman"/>
                <w:sz w:val="32"/>
                <w:szCs w:val="32"/>
              </w:rPr>
              <w:t>科。</w:t>
            </w:r>
            <w:r>
              <w:rPr>
                <w:rFonts w:hint="eastAsia" w:ascii="仿宋" w:hAnsi="仿宋" w:eastAsia="仿宋" w:cs="Times New Roman"/>
                <w:sz w:val="32"/>
                <w:szCs w:val="32"/>
              </w:rPr>
              <w:t>贯彻落实党的民族宗教工作基本方针和政策，</w:t>
            </w:r>
            <w:r>
              <w:rPr>
                <w:rFonts w:hint="eastAsia" w:ascii="Times New Roman" w:hAnsi="Times New Roman" w:eastAsia="仿宋" w:cs="Times New Roman"/>
                <w:sz w:val="32"/>
                <w:szCs w:val="32"/>
              </w:rPr>
              <w:t>开展民族宗教工作重大问题的调查研究，</w:t>
            </w:r>
            <w:r>
              <w:rPr>
                <w:rFonts w:hint="eastAsia" w:ascii="仿宋" w:hAnsi="仿宋" w:eastAsia="仿宋" w:cs="Times New Roman"/>
                <w:sz w:val="32"/>
                <w:szCs w:val="32"/>
              </w:rPr>
              <w:t>依法管理民族宗教事务，联系少数民族代表人士，联系、培养宗教界代表人士。配合有关部门对宗教场所安全生产管理的监督检查，指导督促宗教场所落实安全管理职责。</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Times New Roman" w:hAnsi="Times New Roman" w:eastAsia="仿宋" w:cs="Times New Roman"/>
                <w:sz w:val="32"/>
                <w:szCs w:val="32"/>
              </w:rPr>
              <w:t xml:space="preserve">    （三）二道区宗教事务服务中心。为全区宗教事务工作提供服务保障。</w:t>
            </w:r>
          </w:p>
        </w:tc>
      </w:tr>
    </w:tbl>
    <w:p>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长春市二道区委统战部本级共计1个预算单位。</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ascii="宋体" w:hAnsi="宋体" w:cs="宋体"/>
          <w:b/>
          <w:bCs/>
          <w:color w:val="3E3E3E"/>
          <w:kern w:val="0"/>
          <w:sz w:val="32"/>
          <w:szCs w:val="32"/>
        </w:rPr>
        <w:t>(</w:t>
      </w:r>
      <w:r>
        <w:rPr>
          <w:rFonts w:hint="eastAsia" w:ascii="宋体" w:hAnsi="宋体" w:cs="宋体"/>
          <w:b/>
          <w:bCs/>
          <w:color w:val="3E3E3E"/>
          <w:kern w:val="0"/>
          <w:sz w:val="32"/>
          <w:szCs w:val="32"/>
        </w:rPr>
        <w:t>二</w:t>
      </w:r>
      <w:r>
        <w:rPr>
          <w:rFonts w:ascii="宋体" w:hAnsi="宋体" w:cs="宋体"/>
          <w:b/>
          <w:bCs/>
          <w:color w:val="3E3E3E"/>
          <w:kern w:val="0"/>
          <w:sz w:val="32"/>
          <w:szCs w:val="32"/>
        </w:rPr>
        <w:t>)</w:t>
      </w:r>
      <w:r>
        <w:rPr>
          <w:rFonts w:hint="eastAsia" w:ascii="宋体" w:hAnsi="宋体" w:cs="宋体"/>
          <w:b/>
          <w:bCs/>
          <w:color w:val="3E3E3E"/>
          <w:kern w:val="0"/>
          <w:sz w:val="32"/>
          <w:szCs w:val="32"/>
        </w:rPr>
        <w:t>预算单位人员构成情况</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长春市二道区委统战部本级现有人员17人，其中，在职人员11人，退休人员6人。</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年度部门预算表</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　</w:t>
      </w:r>
      <w:r>
        <w:rPr>
          <w:rFonts w:hint="eastAsia" w:ascii="宋体" w:hAnsi="宋体" w:cs="宋体"/>
          <w:color w:val="3E3E3E"/>
          <w:kern w:val="0"/>
          <w:sz w:val="32"/>
          <w:szCs w:val="32"/>
        </w:rPr>
        <w:t>　附件：　</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tbl>
      <w:tblPr>
        <w:tblStyle w:val="5"/>
        <w:tblW w:w="8797" w:type="dxa"/>
        <w:tblInd w:w="-106" w:type="dxa"/>
        <w:tblLayout w:type="fixed"/>
        <w:tblCellMar>
          <w:top w:w="0" w:type="dxa"/>
          <w:left w:w="108" w:type="dxa"/>
          <w:bottom w:w="0" w:type="dxa"/>
          <w:right w:w="108" w:type="dxa"/>
        </w:tblCellMar>
      </w:tblPr>
      <w:tblGrid>
        <w:gridCol w:w="3299"/>
        <w:gridCol w:w="914"/>
        <w:gridCol w:w="1972"/>
        <w:gridCol w:w="1002"/>
        <w:gridCol w:w="805"/>
        <w:gridCol w:w="805"/>
      </w:tblGrid>
      <w:tr>
        <w:tblPrEx>
          <w:tblCellMar>
            <w:top w:w="0" w:type="dxa"/>
            <w:left w:w="108" w:type="dxa"/>
            <w:bottom w:w="0" w:type="dxa"/>
            <w:right w:w="108" w:type="dxa"/>
          </w:tblCellMar>
        </w:tblPrEx>
        <w:trPr>
          <w:trHeight w:val="255" w:hRule="atLeast"/>
        </w:trPr>
        <w:tc>
          <w:tcPr>
            <w:tcW w:w="3299" w:type="dxa"/>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1</w:t>
            </w:r>
          </w:p>
        </w:tc>
        <w:tc>
          <w:tcPr>
            <w:tcW w:w="914" w:type="dxa"/>
            <w:tcBorders>
              <w:top w:val="nil"/>
              <w:left w:val="nil"/>
              <w:bottom w:val="nil"/>
              <w:right w:val="nil"/>
            </w:tcBorders>
            <w:vAlign w:val="bottom"/>
          </w:tcPr>
          <w:p>
            <w:pPr>
              <w:widowControl/>
              <w:jc w:val="left"/>
              <w:rPr>
                <w:rFonts w:ascii="宋体" w:cs="Times New Roman"/>
                <w:kern w:val="0"/>
                <w:sz w:val="20"/>
                <w:szCs w:val="20"/>
              </w:rPr>
            </w:pPr>
          </w:p>
        </w:tc>
        <w:tc>
          <w:tcPr>
            <w:tcW w:w="1972" w:type="dxa"/>
            <w:tcBorders>
              <w:top w:val="nil"/>
              <w:left w:val="nil"/>
              <w:bottom w:val="nil"/>
              <w:right w:val="nil"/>
            </w:tcBorders>
            <w:vAlign w:val="bottom"/>
          </w:tcPr>
          <w:p>
            <w:pPr>
              <w:widowControl/>
              <w:jc w:val="left"/>
              <w:rPr>
                <w:rFonts w:ascii="宋体" w:cs="Times New Roman"/>
                <w:kern w:val="0"/>
                <w:sz w:val="20"/>
                <w:szCs w:val="20"/>
              </w:rPr>
            </w:pPr>
          </w:p>
        </w:tc>
        <w:tc>
          <w:tcPr>
            <w:tcW w:w="1002"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797" w:type="dxa"/>
            <w:gridSpan w:val="6"/>
            <w:tcBorders>
              <w:top w:val="nil"/>
              <w:left w:val="nil"/>
              <w:bottom w:val="nil"/>
              <w:right w:val="nil"/>
            </w:tcBorders>
            <w:shd w:val="clear" w:color="000000" w:fill="FFFFFF"/>
            <w:vAlign w:val="center"/>
          </w:tcPr>
          <w:p>
            <w:pPr>
              <w:widowControl/>
              <w:jc w:val="center"/>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财政拨款收支总表</w:t>
            </w:r>
          </w:p>
        </w:tc>
      </w:tr>
      <w:tr>
        <w:tblPrEx>
          <w:tblCellMar>
            <w:top w:w="0" w:type="dxa"/>
            <w:left w:w="108" w:type="dxa"/>
            <w:bottom w:w="0" w:type="dxa"/>
            <w:right w:w="108" w:type="dxa"/>
          </w:tblCellMar>
        </w:tblPrEx>
        <w:trPr>
          <w:trHeight w:val="225" w:hRule="atLeast"/>
        </w:trPr>
        <w:tc>
          <w:tcPr>
            <w:tcW w:w="4213" w:type="dxa"/>
            <w:gridSpan w:val="2"/>
            <w:tcBorders>
              <w:top w:val="nil"/>
              <w:left w:val="nil"/>
              <w:bottom w:val="single" w:color="auto" w:sz="4" w:space="0"/>
              <w:right w:val="nil"/>
            </w:tcBorders>
            <w:vAlign w:val="bottom"/>
          </w:tcPr>
          <w:p>
            <w:pPr>
              <w:widowControl/>
              <w:jc w:val="center"/>
              <w:rPr>
                <w:rFonts w:hint="eastAsia" w:ascii="宋体" w:eastAsia="宋体" w:cs="Times New Roman"/>
                <w:kern w:val="0"/>
                <w:sz w:val="16"/>
                <w:szCs w:val="16"/>
                <w:lang w:eastAsia="zh-CN"/>
              </w:rPr>
            </w:pPr>
            <w:r>
              <w:rPr>
                <w:rFonts w:hint="eastAsia" w:ascii="宋体" w:hAnsi="宋体" w:cs="宋体"/>
                <w:kern w:val="0"/>
                <w:sz w:val="16"/>
                <w:szCs w:val="16"/>
              </w:rPr>
              <w:t>部门（单位）名称：</w:t>
            </w:r>
            <w:r>
              <w:rPr>
                <w:rFonts w:hint="eastAsia" w:ascii="宋体" w:hAnsi="宋体" w:cs="宋体"/>
                <w:kern w:val="0"/>
                <w:sz w:val="16"/>
                <w:szCs w:val="16"/>
                <w:lang w:eastAsia="zh-CN"/>
              </w:rPr>
              <w:t>中共长春市二道区委统一战线工作部</w:t>
            </w:r>
          </w:p>
        </w:tc>
        <w:tc>
          <w:tcPr>
            <w:tcW w:w="1972" w:type="dxa"/>
            <w:tcBorders>
              <w:top w:val="nil"/>
              <w:left w:val="nil"/>
              <w:bottom w:val="single" w:color="auto" w:sz="4" w:space="0"/>
              <w:right w:val="nil"/>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　</w:t>
            </w:r>
          </w:p>
        </w:tc>
        <w:tc>
          <w:tcPr>
            <w:tcW w:w="1002" w:type="dxa"/>
            <w:tcBorders>
              <w:top w:val="nil"/>
              <w:left w:val="nil"/>
              <w:bottom w:val="single" w:color="auto" w:sz="4" w:space="0"/>
              <w:right w:val="nil"/>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　</w:t>
            </w:r>
          </w:p>
        </w:tc>
        <w:tc>
          <w:tcPr>
            <w:tcW w:w="1610" w:type="dxa"/>
            <w:gridSpan w:val="2"/>
            <w:tcBorders>
              <w:top w:val="nil"/>
              <w:left w:val="nil"/>
              <w:bottom w:val="single" w:color="auto" w:sz="4" w:space="0"/>
              <w:right w:val="nil"/>
            </w:tcBorders>
            <w:shd w:val="clear" w:color="000000" w:fill="FFFFFF"/>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108" w:type="dxa"/>
            <w:bottom w:w="0" w:type="dxa"/>
            <w:right w:w="108" w:type="dxa"/>
          </w:tblCellMar>
        </w:tblPrEx>
        <w:trPr>
          <w:trHeight w:val="365" w:hRule="atLeast"/>
        </w:trPr>
        <w:tc>
          <w:tcPr>
            <w:tcW w:w="4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p>
        </w:tc>
        <w:tc>
          <w:tcPr>
            <w:tcW w:w="4584"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p>
        </w:tc>
      </w:tr>
      <w:tr>
        <w:tblPrEx>
          <w:tblCellMar>
            <w:top w:w="0" w:type="dxa"/>
            <w:left w:w="108" w:type="dxa"/>
            <w:bottom w:w="0" w:type="dxa"/>
            <w:right w:w="108" w:type="dxa"/>
          </w:tblCellMar>
        </w:tblPrEx>
        <w:trPr>
          <w:trHeight w:val="1276" w:hRule="atLeast"/>
        </w:trPr>
        <w:tc>
          <w:tcPr>
            <w:tcW w:w="32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w:t>
            </w:r>
          </w:p>
        </w:tc>
        <w:tc>
          <w:tcPr>
            <w:tcW w:w="914"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预算金额</w:t>
            </w:r>
          </w:p>
        </w:tc>
        <w:tc>
          <w:tcPr>
            <w:tcW w:w="1972"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目（按功能分类）</w:t>
            </w:r>
          </w:p>
        </w:tc>
        <w:tc>
          <w:tcPr>
            <w:tcW w:w="1002"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一般公共预算财政拨款</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政府性基金预算财政拨款</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一、财政拨款（补助）</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hAnsi="宋体" w:cs="宋体"/>
                <w:color w:val="auto"/>
                <w:kern w:val="0"/>
                <w:sz w:val="16"/>
                <w:szCs w:val="16"/>
                <w:lang w:val="en-US" w:eastAsia="zh-CN"/>
              </w:rPr>
              <w:t>259.62</w:t>
            </w:r>
            <w:r>
              <w:rPr>
                <w:rFonts w:ascii="宋体" w:hAnsi="宋体" w:cs="宋体"/>
                <w:color w:val="auto"/>
                <w:kern w:val="0"/>
                <w:sz w:val="16"/>
                <w:szCs w:val="16"/>
              </w:rPr>
              <w:t xml:space="preserve">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b/>
                <w:bCs/>
                <w:color w:val="auto"/>
                <w:kern w:val="0"/>
                <w:sz w:val="16"/>
                <w:szCs w:val="16"/>
              </w:rPr>
            </w:pPr>
            <w:r>
              <w:rPr>
                <w:rFonts w:hint="eastAsia" w:ascii="宋体" w:hAnsi="宋体" w:cs="宋体"/>
                <w:b/>
                <w:bCs/>
                <w:color w:val="auto"/>
                <w:kern w:val="0"/>
                <w:sz w:val="16"/>
                <w:szCs w:val="16"/>
              </w:rPr>
              <w:t>一、一般公共服务</w:t>
            </w:r>
          </w:p>
        </w:tc>
        <w:tc>
          <w:tcPr>
            <w:tcW w:w="100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auto"/>
                <w:kern w:val="0"/>
                <w:sz w:val="16"/>
                <w:szCs w:val="16"/>
                <w:lang w:val="en-US" w:eastAsia="zh-CN"/>
              </w:rPr>
            </w:pPr>
            <w:r>
              <w:rPr>
                <w:rFonts w:hint="eastAsia" w:ascii="宋体" w:hAnsi="宋体" w:cs="宋体"/>
                <w:b/>
                <w:bCs/>
                <w:color w:val="auto"/>
                <w:kern w:val="0"/>
                <w:sz w:val="16"/>
                <w:szCs w:val="16"/>
                <w:lang w:val="en-US" w:eastAsia="zh-CN"/>
              </w:rPr>
              <w:t>259.62</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auto"/>
                <w:kern w:val="0"/>
                <w:sz w:val="16"/>
                <w:szCs w:val="16"/>
                <w:lang w:val="en-US" w:eastAsia="zh-CN"/>
              </w:rPr>
            </w:pPr>
            <w:r>
              <w:rPr>
                <w:rFonts w:hint="eastAsia" w:ascii="宋体" w:hAnsi="宋体" w:cs="宋体"/>
                <w:b/>
                <w:bCs/>
                <w:color w:val="auto"/>
                <w:kern w:val="0"/>
                <w:sz w:val="16"/>
                <w:szCs w:val="16"/>
                <w:lang w:val="en-US" w:eastAsia="zh-CN"/>
              </w:rPr>
              <w:t>259.62</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经费拨款</w:t>
            </w:r>
            <w:r>
              <w:rPr>
                <w:rFonts w:ascii="宋体" w:hAnsi="宋体" w:cs="宋体"/>
                <w:color w:val="000000"/>
                <w:kern w:val="0"/>
                <w:sz w:val="16"/>
                <w:szCs w:val="16"/>
              </w:rPr>
              <w:t>(</w:t>
            </w:r>
            <w:r>
              <w:rPr>
                <w:rFonts w:hint="eastAsia" w:ascii="宋体" w:hAnsi="宋体" w:cs="宋体"/>
                <w:color w:val="000000"/>
                <w:kern w:val="0"/>
                <w:sz w:val="16"/>
                <w:szCs w:val="16"/>
              </w:rPr>
              <w:t>补助）</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hAnsi="宋体" w:cs="宋体"/>
                <w:color w:val="auto"/>
                <w:kern w:val="0"/>
                <w:sz w:val="16"/>
                <w:szCs w:val="16"/>
                <w:lang w:val="en-US" w:eastAsia="zh-CN"/>
              </w:rPr>
              <w:t>259.62</w:t>
            </w:r>
            <w:r>
              <w:rPr>
                <w:rFonts w:ascii="宋体" w:hAnsi="宋体" w:cs="宋体"/>
                <w:color w:val="auto"/>
                <w:kern w:val="0"/>
                <w:sz w:val="16"/>
                <w:szCs w:val="16"/>
              </w:rPr>
              <w:t xml:space="preserve">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b/>
                <w:bCs/>
                <w:color w:val="auto"/>
                <w:kern w:val="0"/>
                <w:sz w:val="16"/>
                <w:szCs w:val="16"/>
              </w:rPr>
            </w:pPr>
            <w:r>
              <w:rPr>
                <w:rFonts w:hint="eastAsia" w:ascii="宋体" w:hAnsi="宋体" w:cs="宋体"/>
                <w:b/>
                <w:bCs/>
                <w:color w:val="auto"/>
                <w:kern w:val="0"/>
                <w:sz w:val="16"/>
                <w:szCs w:val="16"/>
              </w:rPr>
              <w:t>二、住房保障支出</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纳入预算管理的行政性收费安排的拨款</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b/>
                <w:bCs/>
                <w:color w:val="auto"/>
                <w:kern w:val="0"/>
                <w:sz w:val="16"/>
                <w:szCs w:val="16"/>
              </w:rPr>
            </w:pPr>
            <w:r>
              <w:rPr>
                <w:rFonts w:hint="eastAsia" w:ascii="宋体" w:hAnsi="宋体" w:cs="宋体"/>
                <w:b/>
                <w:bCs/>
                <w:color w:val="auto"/>
                <w:kern w:val="0"/>
                <w:sz w:val="16"/>
                <w:szCs w:val="16"/>
              </w:rPr>
              <w:t>三、医疗卫生</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经费拨款</w:t>
            </w:r>
            <w:r>
              <w:rPr>
                <w:rFonts w:ascii="宋体" w:hAnsi="宋体" w:cs="宋体"/>
                <w:color w:val="000000"/>
                <w:kern w:val="0"/>
                <w:sz w:val="16"/>
                <w:szCs w:val="16"/>
              </w:rPr>
              <w:t>(</w:t>
            </w:r>
            <w:r>
              <w:rPr>
                <w:rFonts w:hint="eastAsia" w:ascii="宋体" w:hAnsi="宋体" w:cs="宋体"/>
                <w:color w:val="000000"/>
                <w:kern w:val="0"/>
                <w:sz w:val="16"/>
                <w:szCs w:val="16"/>
              </w:rPr>
              <w:t>办案费</w:t>
            </w:r>
            <w:r>
              <w:rPr>
                <w:rFonts w:ascii="宋体" w:hAnsi="宋体" w:cs="宋体"/>
                <w:color w:val="000000"/>
                <w:kern w:val="0"/>
                <w:sz w:val="16"/>
                <w:szCs w:val="16"/>
              </w:rPr>
              <w:t>)</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b/>
                <w:bCs/>
                <w:color w:val="auto"/>
                <w:kern w:val="0"/>
                <w:sz w:val="16"/>
                <w:szCs w:val="16"/>
              </w:rPr>
            </w:pPr>
            <w:r>
              <w:rPr>
                <w:rFonts w:hint="eastAsia" w:ascii="宋体" w:hAnsi="宋体" w:cs="宋体"/>
                <w:b/>
                <w:bCs/>
                <w:color w:val="auto"/>
                <w:kern w:val="0"/>
                <w:sz w:val="16"/>
                <w:szCs w:val="16"/>
              </w:rPr>
              <w:t>四、环境保护</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国有资产有偿使用收入</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b/>
                <w:bCs/>
                <w:color w:val="auto"/>
                <w:kern w:val="0"/>
                <w:sz w:val="16"/>
                <w:szCs w:val="16"/>
              </w:rPr>
            </w:pPr>
            <w:r>
              <w:rPr>
                <w:rFonts w:hint="eastAsia" w:ascii="宋体" w:hAnsi="宋体" w:cs="宋体"/>
                <w:b/>
                <w:bCs/>
                <w:color w:val="auto"/>
                <w:kern w:val="0"/>
                <w:sz w:val="16"/>
                <w:szCs w:val="16"/>
              </w:rPr>
              <w:t>五、社会保险基金支出</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专项收入安排的拨款</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b/>
                <w:bCs/>
                <w:color w:val="auto"/>
                <w:kern w:val="0"/>
                <w:sz w:val="16"/>
                <w:szCs w:val="16"/>
              </w:rPr>
            </w:pPr>
            <w:r>
              <w:rPr>
                <w:rFonts w:hint="eastAsia" w:ascii="宋体" w:hAnsi="宋体" w:cs="宋体"/>
                <w:b/>
                <w:bCs/>
                <w:color w:val="auto"/>
                <w:kern w:val="0"/>
                <w:sz w:val="16"/>
                <w:szCs w:val="16"/>
              </w:rPr>
              <w:t>六、资源勘探电力信息等事务</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城维费拨款收入</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二、预算外资金</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专户核拨的预算外资金</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批准留用的预算外资金</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b/>
                <w:bCs/>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三、事业收入（不含预算外）</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b/>
                <w:bCs/>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auto"/>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四、事业单位经营收入</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r>
              <w:rPr>
                <w:rFonts w:hint="eastAsia" w:ascii="宋体" w:hAnsi="宋体" w:cs="宋体"/>
                <w:color w:val="auto"/>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五、纳入预算管理的政府性基金</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r>
              <w:rPr>
                <w:rFonts w:hint="eastAsia" w:ascii="宋体" w:hAnsi="宋体" w:cs="宋体"/>
                <w:color w:val="auto"/>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六、其他收入</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r>
              <w:rPr>
                <w:rFonts w:hint="eastAsia" w:ascii="宋体" w:hAnsi="宋体" w:cs="宋体"/>
                <w:color w:val="auto"/>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七、上级补助收入</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r>
              <w:rPr>
                <w:rFonts w:hint="eastAsia" w:ascii="宋体" w:hAnsi="宋体" w:cs="宋体"/>
                <w:color w:val="auto"/>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八、附属单位上缴收入</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r>
              <w:rPr>
                <w:rFonts w:hint="eastAsia" w:ascii="宋体" w:hAnsi="宋体" w:cs="宋体"/>
                <w:color w:val="auto"/>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九、用事业基金弥补收支差额</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ascii="宋体" w:hAnsi="宋体" w:cs="宋体"/>
                <w:color w:val="auto"/>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r>
              <w:rPr>
                <w:rFonts w:hint="eastAsia" w:ascii="宋体" w:hAnsi="宋体" w:cs="宋体"/>
                <w:color w:val="auto"/>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本</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年</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合</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hAnsi="宋体" w:cs="宋体"/>
                <w:color w:val="auto"/>
                <w:kern w:val="0"/>
                <w:sz w:val="16"/>
                <w:szCs w:val="16"/>
                <w:lang w:val="en-US" w:eastAsia="zh-CN"/>
              </w:rPr>
              <w:t>259.62</w:t>
            </w:r>
            <w:r>
              <w:rPr>
                <w:rFonts w:ascii="宋体" w:hAnsi="宋体" w:cs="宋体"/>
                <w:color w:val="auto"/>
                <w:kern w:val="0"/>
                <w:sz w:val="16"/>
                <w:szCs w:val="16"/>
              </w:rPr>
              <w:t xml:space="preserve"> </w:t>
            </w:r>
          </w:p>
        </w:tc>
        <w:tc>
          <w:tcPr>
            <w:tcW w:w="1972" w:type="dxa"/>
            <w:tcBorders>
              <w:top w:val="nil"/>
              <w:left w:val="nil"/>
              <w:bottom w:val="single" w:color="auto" w:sz="4" w:space="0"/>
              <w:right w:val="single" w:color="auto" w:sz="4" w:space="0"/>
            </w:tcBorders>
            <w:vAlign w:val="bottom"/>
          </w:tcPr>
          <w:p>
            <w:pPr>
              <w:widowControl/>
              <w:jc w:val="center"/>
              <w:rPr>
                <w:rFonts w:ascii="宋体" w:cs="Times New Roman"/>
                <w:b/>
                <w:bCs/>
                <w:color w:val="auto"/>
                <w:kern w:val="0"/>
                <w:sz w:val="16"/>
                <w:szCs w:val="16"/>
              </w:rPr>
            </w:pPr>
            <w:r>
              <w:rPr>
                <w:rFonts w:hint="eastAsia" w:ascii="宋体" w:hAnsi="宋体" w:cs="宋体"/>
                <w:b/>
                <w:bCs/>
                <w:color w:val="auto"/>
                <w:kern w:val="0"/>
                <w:sz w:val="16"/>
                <w:szCs w:val="16"/>
              </w:rPr>
              <w:t>本</w:t>
            </w:r>
            <w:r>
              <w:rPr>
                <w:rFonts w:ascii="宋体" w:hAnsi="宋体" w:cs="宋体"/>
                <w:b/>
                <w:bCs/>
                <w:color w:val="auto"/>
                <w:kern w:val="0"/>
                <w:sz w:val="16"/>
                <w:szCs w:val="16"/>
              </w:rPr>
              <w:t xml:space="preserve"> </w:t>
            </w:r>
            <w:r>
              <w:rPr>
                <w:rFonts w:hint="eastAsia" w:ascii="宋体" w:hAnsi="宋体" w:cs="宋体"/>
                <w:b/>
                <w:bCs/>
                <w:color w:val="auto"/>
                <w:kern w:val="0"/>
                <w:sz w:val="16"/>
                <w:szCs w:val="16"/>
              </w:rPr>
              <w:t>年</w:t>
            </w:r>
            <w:r>
              <w:rPr>
                <w:rFonts w:ascii="宋体" w:hAnsi="宋体" w:cs="宋体"/>
                <w:b/>
                <w:bCs/>
                <w:color w:val="auto"/>
                <w:kern w:val="0"/>
                <w:sz w:val="16"/>
                <w:szCs w:val="16"/>
              </w:rPr>
              <w:t xml:space="preserve"> </w:t>
            </w:r>
            <w:r>
              <w:rPr>
                <w:rFonts w:hint="eastAsia" w:ascii="宋体" w:hAnsi="宋体" w:cs="宋体"/>
                <w:b/>
                <w:bCs/>
                <w:color w:val="auto"/>
                <w:kern w:val="0"/>
                <w:sz w:val="16"/>
                <w:szCs w:val="16"/>
              </w:rPr>
              <w:t>支</w:t>
            </w:r>
            <w:r>
              <w:rPr>
                <w:rFonts w:ascii="宋体" w:hAnsi="宋体" w:cs="宋体"/>
                <w:b/>
                <w:bCs/>
                <w:color w:val="auto"/>
                <w:kern w:val="0"/>
                <w:sz w:val="16"/>
                <w:szCs w:val="16"/>
              </w:rPr>
              <w:t xml:space="preserve"> </w:t>
            </w:r>
            <w:r>
              <w:rPr>
                <w:rFonts w:hint="eastAsia" w:ascii="宋体" w:hAnsi="宋体" w:cs="宋体"/>
                <w:b/>
                <w:bCs/>
                <w:color w:val="auto"/>
                <w:kern w:val="0"/>
                <w:sz w:val="16"/>
                <w:szCs w:val="16"/>
              </w:rPr>
              <w:t>出</w:t>
            </w:r>
            <w:r>
              <w:rPr>
                <w:rFonts w:ascii="宋体" w:hAnsi="宋体" w:cs="宋体"/>
                <w:b/>
                <w:bCs/>
                <w:color w:val="auto"/>
                <w:kern w:val="0"/>
                <w:sz w:val="16"/>
                <w:szCs w:val="16"/>
              </w:rPr>
              <w:t xml:space="preserve"> </w:t>
            </w:r>
            <w:r>
              <w:rPr>
                <w:rFonts w:hint="eastAsia" w:ascii="宋体" w:hAnsi="宋体" w:cs="宋体"/>
                <w:b/>
                <w:bCs/>
                <w:color w:val="auto"/>
                <w:kern w:val="0"/>
                <w:sz w:val="16"/>
                <w:szCs w:val="16"/>
              </w:rPr>
              <w:t>合</w:t>
            </w:r>
            <w:r>
              <w:rPr>
                <w:rFonts w:ascii="宋体" w:hAnsi="宋体" w:cs="宋体"/>
                <w:b/>
                <w:bCs/>
                <w:color w:val="auto"/>
                <w:kern w:val="0"/>
                <w:sz w:val="16"/>
                <w:szCs w:val="16"/>
              </w:rPr>
              <w:t xml:space="preserve"> </w:t>
            </w:r>
            <w:r>
              <w:rPr>
                <w:rFonts w:hint="eastAsia" w:ascii="宋体" w:hAnsi="宋体" w:cs="宋体"/>
                <w:b/>
                <w:bCs/>
                <w:color w:val="auto"/>
                <w:kern w:val="0"/>
                <w:sz w:val="16"/>
                <w:szCs w:val="16"/>
              </w:rPr>
              <w:t>计</w:t>
            </w:r>
          </w:p>
        </w:tc>
        <w:tc>
          <w:tcPr>
            <w:tcW w:w="100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auto"/>
                <w:kern w:val="0"/>
                <w:sz w:val="16"/>
                <w:szCs w:val="16"/>
                <w:lang w:val="en-US" w:eastAsia="zh-CN"/>
              </w:rPr>
            </w:pPr>
            <w:r>
              <w:rPr>
                <w:rFonts w:hint="eastAsia" w:ascii="宋体" w:hAnsi="宋体" w:cs="宋体"/>
                <w:color w:val="auto"/>
                <w:kern w:val="0"/>
                <w:sz w:val="16"/>
                <w:szCs w:val="16"/>
                <w:lang w:val="en-US" w:eastAsia="zh-CN"/>
              </w:rPr>
              <w:t>259.62</w:t>
            </w:r>
          </w:p>
        </w:tc>
        <w:tc>
          <w:tcPr>
            <w:tcW w:w="805"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hAnsi="宋体" w:cs="宋体"/>
                <w:color w:val="auto"/>
                <w:kern w:val="0"/>
                <w:sz w:val="16"/>
                <w:szCs w:val="16"/>
              </w:rPr>
              <w:t>　</w:t>
            </w:r>
            <w:r>
              <w:rPr>
                <w:rFonts w:hint="eastAsia" w:ascii="宋体" w:hAnsi="宋体" w:cs="宋体"/>
                <w:color w:val="auto"/>
                <w:kern w:val="0"/>
                <w:sz w:val="16"/>
                <w:szCs w:val="16"/>
                <w:lang w:val="en-US" w:eastAsia="zh-CN"/>
              </w:rPr>
              <w:t>259.62</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十、上年结转</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转移性支出</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财政拨款结转</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结转下年</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财政拨款结余</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其他结转</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总</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914"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8000"/>
                <w:kern w:val="0"/>
                <w:sz w:val="16"/>
                <w:szCs w:val="16"/>
                <w:lang w:val="en-US" w:eastAsia="zh-CN"/>
              </w:rPr>
            </w:pPr>
            <w:r>
              <w:rPr>
                <w:rFonts w:hint="eastAsia" w:ascii="宋体" w:hAnsi="宋体" w:cs="宋体"/>
                <w:color w:val="008000"/>
                <w:kern w:val="0"/>
                <w:sz w:val="16"/>
                <w:szCs w:val="16"/>
                <w:lang w:val="en-US" w:eastAsia="zh-CN"/>
              </w:rPr>
              <w:t>259.62</w:t>
            </w:r>
          </w:p>
        </w:tc>
        <w:tc>
          <w:tcPr>
            <w:tcW w:w="1972"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总</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259.62</w:t>
            </w:r>
            <w:r>
              <w:rPr>
                <w:rFonts w:ascii="宋体" w:hAnsi="宋体" w:cs="宋体"/>
                <w:color w:val="008000"/>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color w:val="008000"/>
                <w:kern w:val="0"/>
                <w:sz w:val="16"/>
                <w:szCs w:val="16"/>
                <w:lang w:val="en-US" w:eastAsia="zh-CN"/>
              </w:rPr>
              <w:t>259.62</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9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1972"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tbl>
      <w:tblPr>
        <w:tblStyle w:val="5"/>
        <w:tblW w:w="8670" w:type="dxa"/>
        <w:tblInd w:w="-106" w:type="dxa"/>
        <w:tblLayout w:type="fixed"/>
        <w:tblCellMar>
          <w:top w:w="0" w:type="dxa"/>
          <w:left w:w="108" w:type="dxa"/>
          <w:bottom w:w="0" w:type="dxa"/>
          <w:right w:w="108" w:type="dxa"/>
        </w:tblCellMar>
      </w:tblPr>
      <w:tblGrid>
        <w:gridCol w:w="7045"/>
        <w:gridCol w:w="1625"/>
      </w:tblGrid>
      <w:tr>
        <w:tblPrEx>
          <w:tblCellMar>
            <w:top w:w="0" w:type="dxa"/>
            <w:left w:w="108" w:type="dxa"/>
            <w:bottom w:w="0" w:type="dxa"/>
            <w:right w:w="108" w:type="dxa"/>
          </w:tblCellMar>
        </w:tblPrEx>
        <w:trPr>
          <w:trHeight w:val="510" w:hRule="atLeast"/>
        </w:trPr>
        <w:tc>
          <w:tcPr>
            <w:tcW w:w="8670" w:type="dxa"/>
            <w:gridSpan w:val="2"/>
            <w:tcBorders>
              <w:top w:val="nil"/>
              <w:left w:val="nil"/>
              <w:bottom w:val="nil"/>
              <w:right w:val="nil"/>
            </w:tcBorders>
            <w:vAlign w:val="bottom"/>
          </w:tcPr>
          <w:p>
            <w:pPr>
              <w:widowControl/>
              <w:jc w:val="center"/>
              <w:rPr>
                <w:rFonts w:ascii="宋体" w:cs="Times New Roman"/>
                <w:b/>
                <w:bCs/>
                <w:kern w:val="0"/>
                <w:sz w:val="24"/>
                <w:szCs w:val="24"/>
              </w:rPr>
            </w:pPr>
            <w:r>
              <w:rPr>
                <w:rFonts w:hint="eastAsia" w:ascii="宋体" w:hAnsi="宋体" w:cs="宋体"/>
                <w:b/>
                <w:bCs/>
                <w:kern w:val="0"/>
                <w:sz w:val="24"/>
                <w:szCs w:val="24"/>
              </w:rPr>
              <w:t>一般公共预算支出表</w:t>
            </w:r>
          </w:p>
        </w:tc>
      </w:tr>
      <w:tr>
        <w:tblPrEx>
          <w:tblCellMar>
            <w:top w:w="0" w:type="dxa"/>
            <w:left w:w="108" w:type="dxa"/>
            <w:bottom w:w="0" w:type="dxa"/>
            <w:right w:w="108" w:type="dxa"/>
          </w:tblCellMar>
        </w:tblPrEx>
        <w:trPr>
          <w:trHeight w:val="255" w:hRule="atLeast"/>
        </w:trPr>
        <w:tc>
          <w:tcPr>
            <w:tcW w:w="8670" w:type="dxa"/>
            <w:gridSpan w:val="2"/>
            <w:tcBorders>
              <w:top w:val="nil"/>
              <w:left w:val="nil"/>
              <w:bottom w:val="single" w:color="auto" w:sz="4" w:space="0"/>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部门（单位）名称：</w:t>
            </w:r>
            <w:r>
              <w:rPr>
                <w:rFonts w:hint="eastAsia" w:ascii="宋体" w:hAnsi="宋体" w:cs="宋体"/>
                <w:kern w:val="0"/>
                <w:sz w:val="20"/>
                <w:szCs w:val="20"/>
              </w:rPr>
              <w:t>中共长春市二道区委统战部</w:t>
            </w:r>
            <w:r>
              <w:rPr>
                <w:rFonts w:hint="eastAsia" w:ascii="Arial" w:hAnsi="Arial" w:cs="宋体"/>
                <w:color w:val="000000"/>
                <w:kern w:val="0"/>
                <w:sz w:val="20"/>
                <w:szCs w:val="20"/>
              </w:rPr>
              <w:t>单位：万元</w:t>
            </w:r>
          </w:p>
        </w:tc>
      </w:tr>
      <w:tr>
        <w:tblPrEx>
          <w:tblCellMar>
            <w:top w:w="0" w:type="dxa"/>
            <w:left w:w="108" w:type="dxa"/>
            <w:bottom w:w="0" w:type="dxa"/>
            <w:right w:w="108" w:type="dxa"/>
          </w:tblCellMar>
        </w:tblPrEx>
        <w:trPr>
          <w:trHeight w:val="624" w:hRule="atLeast"/>
        </w:trPr>
        <w:tc>
          <w:tcPr>
            <w:tcW w:w="7045" w:type="dxa"/>
            <w:vMerge w:val="restart"/>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8"/>
                <w:szCs w:val="28"/>
              </w:rPr>
            </w:pPr>
            <w:r>
              <w:rPr>
                <w:rFonts w:hint="eastAsia" w:ascii="宋体" w:hAnsi="宋体" w:cs="宋体"/>
                <w:b/>
                <w:bCs/>
                <w:color w:val="000000"/>
                <w:kern w:val="0"/>
                <w:sz w:val="28"/>
                <w:szCs w:val="28"/>
              </w:rPr>
              <w:t>功能分类科目（类款项）</w:t>
            </w:r>
          </w:p>
        </w:tc>
        <w:tc>
          <w:tcPr>
            <w:tcW w:w="162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预算数</w:t>
            </w:r>
          </w:p>
        </w:tc>
      </w:tr>
      <w:tr>
        <w:tblPrEx>
          <w:tblCellMar>
            <w:top w:w="0" w:type="dxa"/>
            <w:left w:w="108" w:type="dxa"/>
            <w:bottom w:w="0" w:type="dxa"/>
            <w:right w:w="108" w:type="dxa"/>
          </w:tblCellMar>
        </w:tblPrEx>
        <w:trPr>
          <w:trHeight w:val="624" w:hRule="atLeast"/>
        </w:trPr>
        <w:tc>
          <w:tcPr>
            <w:tcW w:w="7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8"/>
                <w:szCs w:val="28"/>
              </w:rPr>
            </w:pPr>
          </w:p>
        </w:tc>
        <w:tc>
          <w:tcPr>
            <w:tcW w:w="16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一、一般公共服务支出（</w:t>
            </w:r>
            <w:r>
              <w:rPr>
                <w:rFonts w:ascii="宋体" w:hAnsi="宋体" w:cs="宋体"/>
                <w:b/>
                <w:bCs/>
                <w:color w:val="000000"/>
                <w:kern w:val="0"/>
                <w:sz w:val="20"/>
                <w:szCs w:val="20"/>
              </w:rPr>
              <w:t>201</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统战事务（</w:t>
            </w:r>
            <w:r>
              <w:rPr>
                <w:rFonts w:ascii="宋体" w:hAnsi="宋体" w:cs="宋体"/>
                <w:color w:val="000000"/>
                <w:kern w:val="0"/>
                <w:sz w:val="20"/>
                <w:szCs w:val="20"/>
              </w:rPr>
              <w:t>201</w:t>
            </w:r>
            <w:r>
              <w:rPr>
                <w:rFonts w:hint="eastAsia" w:ascii="宋体" w:hAnsi="宋体" w:cs="宋体"/>
                <w:color w:val="000000"/>
                <w:kern w:val="0"/>
                <w:sz w:val="20"/>
                <w:szCs w:val="20"/>
              </w:rPr>
              <w:t>34）</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行政运行（</w:t>
            </w:r>
            <w:r>
              <w:rPr>
                <w:rFonts w:ascii="宋体" w:hAnsi="宋体" w:cs="宋体"/>
                <w:color w:val="000000" w:themeColor="text1"/>
                <w:kern w:val="0"/>
                <w:sz w:val="20"/>
                <w:szCs w:val="20"/>
                <w14:textFill>
                  <w14:solidFill>
                    <w14:schemeClr w14:val="tx1"/>
                  </w14:solidFill>
                </w14:textFill>
              </w:rPr>
              <w:t>201</w:t>
            </w:r>
            <w:r>
              <w:rPr>
                <w:rFonts w:hint="eastAsia" w:ascii="宋体" w:hAnsi="宋体" w:cs="宋体"/>
                <w:color w:val="000000" w:themeColor="text1"/>
                <w:kern w:val="0"/>
                <w:sz w:val="20"/>
                <w:szCs w:val="20"/>
                <w14:textFill>
                  <w14:solidFill>
                    <w14:schemeClr w14:val="tx1"/>
                  </w14:solidFill>
                </w14:textFill>
              </w:rPr>
              <w:t>3401）</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186.55</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工资统发（</w:t>
            </w:r>
            <w:r>
              <w:rPr>
                <w:rFonts w:hint="eastAsia" w:ascii="宋体" w:hAnsi="宋体" w:cs="宋体"/>
                <w:color w:val="000000" w:themeColor="text1"/>
                <w:kern w:val="0"/>
                <w:sz w:val="20"/>
                <w:szCs w:val="20"/>
                <w:lang w:val="en-US" w:eastAsia="zh-CN"/>
                <w14:textFill>
                  <w14:solidFill>
                    <w14:schemeClr w14:val="tx1"/>
                  </w14:solidFill>
                </w14:textFill>
              </w:rPr>
              <w:t>2013401</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eastAsia" w:ascii="宋体" w:cs="Times New Roman"/>
                <w:color w:val="000000" w:themeColor="text1"/>
                <w:kern w:val="0"/>
                <w:sz w:val="22"/>
                <w:szCs w:val="22"/>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147.63</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医疗保险单位承担部分（</w:t>
            </w:r>
            <w:r>
              <w:rPr>
                <w:rFonts w:hint="eastAsia" w:ascii="宋体" w:hAnsi="宋体" w:cs="宋体"/>
                <w:color w:val="000000" w:themeColor="text1"/>
                <w:kern w:val="0"/>
                <w:sz w:val="20"/>
                <w:szCs w:val="20"/>
                <w:lang w:val="en-US" w:eastAsia="zh-CN"/>
                <w14:textFill>
                  <w14:solidFill>
                    <w14:schemeClr w14:val="tx1"/>
                  </w14:solidFill>
                </w14:textFill>
              </w:rPr>
              <w:t>2101101</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9.8</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养老保险单位承担部分（</w:t>
            </w:r>
            <w:r>
              <w:rPr>
                <w:rFonts w:hint="eastAsia" w:ascii="宋体" w:hAnsi="宋体" w:cs="宋体"/>
                <w:color w:val="000000" w:themeColor="text1"/>
                <w:kern w:val="0"/>
                <w:sz w:val="20"/>
                <w:szCs w:val="20"/>
                <w:lang w:val="en-US" w:eastAsia="zh-CN"/>
                <w14:textFill>
                  <w14:solidFill>
                    <w14:schemeClr w14:val="tx1"/>
                  </w14:solidFill>
                </w14:textFill>
              </w:rPr>
              <w:t>2080505</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13</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失业保险单位承担部分（</w:t>
            </w:r>
            <w:r>
              <w:rPr>
                <w:rFonts w:hint="eastAsia" w:ascii="宋体" w:hAnsi="宋体" w:cs="宋体"/>
                <w:color w:val="000000" w:themeColor="text1"/>
                <w:kern w:val="0"/>
                <w:sz w:val="20"/>
                <w:szCs w:val="20"/>
                <w:lang w:val="en-US" w:eastAsia="zh-CN"/>
                <w14:textFill>
                  <w14:solidFill>
                    <w14:schemeClr w14:val="tx1"/>
                  </w14:solidFill>
                </w14:textFill>
              </w:rPr>
              <w:t>2013401</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0.25</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工伤保险单位承担部分（</w:t>
            </w:r>
            <w:r>
              <w:rPr>
                <w:rFonts w:hint="eastAsia" w:ascii="宋体" w:hAnsi="宋体" w:cs="宋体"/>
                <w:color w:val="000000" w:themeColor="text1"/>
                <w:kern w:val="0"/>
                <w:sz w:val="20"/>
                <w:szCs w:val="20"/>
                <w:lang w:val="en-US" w:eastAsia="zh-CN"/>
                <w14:textFill>
                  <w14:solidFill>
                    <w14:schemeClr w14:val="tx1"/>
                  </w14:solidFill>
                </w14:textFill>
              </w:rPr>
              <w:t>2013401</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0.25</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交通补贴（</w:t>
            </w:r>
            <w:r>
              <w:rPr>
                <w:rFonts w:hint="eastAsia" w:ascii="宋体" w:hAnsi="宋体" w:cs="宋体"/>
                <w:color w:val="000000" w:themeColor="text1"/>
                <w:kern w:val="0"/>
                <w:sz w:val="20"/>
                <w:szCs w:val="20"/>
                <w:lang w:val="en-US" w:eastAsia="zh-CN"/>
                <w14:textFill>
                  <w14:solidFill>
                    <w14:schemeClr w14:val="tx1"/>
                  </w14:solidFill>
                </w14:textFill>
              </w:rPr>
              <w:t>2013401</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10.37</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人均经费（</w:t>
            </w:r>
            <w:r>
              <w:rPr>
                <w:rFonts w:hint="eastAsia" w:ascii="宋体" w:hAnsi="宋体" w:cs="宋体"/>
                <w:color w:val="000000" w:themeColor="text1"/>
                <w:kern w:val="0"/>
                <w:sz w:val="20"/>
                <w:szCs w:val="20"/>
                <w:lang w:val="en-US" w:eastAsia="zh-CN"/>
                <w14:textFill>
                  <w14:solidFill>
                    <w14:schemeClr w14:val="tx1"/>
                  </w14:solidFill>
                </w14:textFill>
              </w:rPr>
              <w:t>2013401</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4.59</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党组织工作经费（</w:t>
            </w:r>
            <w:r>
              <w:rPr>
                <w:rFonts w:hint="eastAsia" w:ascii="宋体" w:hAnsi="宋体" w:cs="宋体"/>
                <w:color w:val="000000" w:themeColor="text1"/>
                <w:kern w:val="0"/>
                <w:sz w:val="20"/>
                <w:szCs w:val="20"/>
                <w:lang w:val="en-US" w:eastAsia="zh-CN"/>
                <w14:textFill>
                  <w14:solidFill>
                    <w14:schemeClr w14:val="tx1"/>
                  </w14:solidFill>
                </w14:textFill>
              </w:rPr>
              <w:t>2013401</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0.56</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宋体" w:hAnsi="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邮电费（</w:t>
            </w:r>
            <w:r>
              <w:rPr>
                <w:rFonts w:hint="eastAsia" w:ascii="宋体" w:hAnsi="宋体" w:cs="宋体"/>
                <w:color w:val="000000" w:themeColor="text1"/>
                <w:kern w:val="0"/>
                <w:sz w:val="20"/>
                <w:szCs w:val="20"/>
                <w:lang w:val="en-US" w:eastAsia="zh-CN"/>
                <w14:textFill>
                  <w14:solidFill>
                    <w14:schemeClr w14:val="tx1"/>
                  </w14:solidFill>
                </w14:textFill>
              </w:rPr>
              <w:t>2013401</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0.1</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一般行政管理事务（2013402）</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73.07</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r>
              <w:rPr>
                <w:rFonts w:hint="eastAsia" w:ascii="宋体" w:hAnsi="宋体" w:cs="宋体"/>
                <w:color w:val="000000" w:themeColor="text1"/>
                <w:kern w:val="0"/>
                <w:sz w:val="20"/>
                <w:szCs w:val="20"/>
                <w:lang w:eastAsia="zh-CN"/>
                <w14:textFill>
                  <w14:solidFill>
                    <w14:schemeClr w14:val="tx1"/>
                  </w14:solidFill>
                </w14:textFill>
              </w:rPr>
              <w:t>具有清真饮食习惯的少数民族肉食补贴区级配套（</w:t>
            </w:r>
            <w:r>
              <w:rPr>
                <w:rFonts w:hint="eastAsia" w:ascii="宋体" w:hAnsi="宋体" w:cs="宋体"/>
                <w:color w:val="000000" w:themeColor="text1"/>
                <w:kern w:val="0"/>
                <w:sz w:val="20"/>
                <w:szCs w:val="20"/>
                <w:lang w:val="en-US" w:eastAsia="zh-CN"/>
                <w14:textFill>
                  <w14:solidFill>
                    <w14:schemeClr w14:val="tx1"/>
                  </w14:solidFill>
                </w14:textFill>
              </w:rPr>
              <w:t>2013402</w:t>
            </w:r>
            <w:r>
              <w:rPr>
                <w:rFonts w:hint="eastAsia" w:ascii="宋体" w:hAnsi="宋体" w:cs="宋体"/>
                <w:color w:val="000000" w:themeColor="text1"/>
                <w:kern w:val="0"/>
                <w:sz w:val="20"/>
                <w:szCs w:val="20"/>
                <w:lang w:eastAsia="zh-CN"/>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　</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28.87</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党派经费（</w:t>
            </w:r>
            <w:r>
              <w:rPr>
                <w:rFonts w:hint="eastAsia" w:ascii="宋体" w:hAnsi="宋体" w:cs="宋体"/>
                <w:color w:val="000000" w:themeColor="text1"/>
                <w:kern w:val="0"/>
                <w:sz w:val="20"/>
                <w:szCs w:val="20"/>
                <w:lang w:val="en-US" w:eastAsia="zh-CN"/>
                <w14:textFill>
                  <w14:solidFill>
                    <w14:schemeClr w14:val="tx1"/>
                  </w14:solidFill>
                </w14:textFill>
              </w:rPr>
              <w:t>2013402</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38</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民族宗教工作经费（</w:t>
            </w:r>
            <w:r>
              <w:rPr>
                <w:rFonts w:hint="eastAsia" w:ascii="宋体" w:hAnsi="宋体" w:cs="宋体"/>
                <w:color w:val="000000" w:themeColor="text1"/>
                <w:kern w:val="0"/>
                <w:sz w:val="20"/>
                <w:szCs w:val="20"/>
                <w:lang w:val="en-US" w:eastAsia="zh-CN"/>
                <w14:textFill>
                  <w14:solidFill>
                    <w14:schemeClr w14:val="tx1"/>
                  </w14:solidFill>
                </w14:textFill>
              </w:rPr>
              <w:t>2013402</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eastAsia" w:ascii="宋体" w:eastAsia="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5</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职工体检费（</w:t>
            </w:r>
            <w:r>
              <w:rPr>
                <w:rFonts w:hint="eastAsia" w:ascii="宋体" w:hAnsi="宋体" w:cs="宋体"/>
                <w:color w:val="000000" w:themeColor="text1"/>
                <w:kern w:val="0"/>
                <w:sz w:val="20"/>
                <w:szCs w:val="20"/>
                <w:lang w:val="en-US" w:eastAsia="zh-CN"/>
                <w14:textFill>
                  <w14:solidFill>
                    <w14:schemeClr w14:val="tx1"/>
                  </w14:solidFill>
                </w14:textFill>
              </w:rPr>
              <w:t>2013402</w:t>
            </w:r>
            <w:r>
              <w:rPr>
                <w:rFonts w:hint="eastAsia" w:ascii="宋体" w:hAnsi="宋体" w:cs="宋体"/>
                <w:color w:val="000000" w:themeColor="text1"/>
                <w:kern w:val="0"/>
                <w:sz w:val="20"/>
                <w:szCs w:val="20"/>
                <w:lang w:eastAsia="zh-CN"/>
                <w14:textFill>
                  <w14:solidFill>
                    <w14:schemeClr w14:val="tx1"/>
                  </w14:solidFill>
                </w14:textFill>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themeColor="text1"/>
                <w:kern w:val="0"/>
                <w:sz w:val="22"/>
                <w:szCs w:val="22"/>
                <w:lang w:val="en-US" w:eastAsia="zh-CN"/>
                <w14:textFill>
                  <w14:solidFill>
                    <w14:schemeClr w14:val="tx1"/>
                  </w14:solidFill>
                </w14:textFill>
              </w:rPr>
            </w:pPr>
            <w:r>
              <w:rPr>
                <w:rFonts w:hint="eastAsia" w:ascii="宋体" w:cs="Times New Roman"/>
                <w:color w:val="000000" w:themeColor="text1"/>
                <w:kern w:val="0"/>
                <w:sz w:val="22"/>
                <w:szCs w:val="22"/>
                <w:lang w:val="en-US" w:eastAsia="zh-CN"/>
                <w14:textFill>
                  <w14:solidFill>
                    <w14:schemeClr w14:val="tx1"/>
                  </w14:solidFill>
                </w14:textFill>
              </w:rPr>
              <w:t>1.2</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合计</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themeColor="text1"/>
                <w:kern w:val="0"/>
                <w:sz w:val="22"/>
                <w:szCs w:val="22"/>
                <w:lang w:val="en-US" w:eastAsia="zh-CN"/>
                <w14:textFill>
                  <w14:solidFill>
                    <w14:schemeClr w14:val="tx1"/>
                  </w14:solidFill>
                </w14:textFill>
              </w:rPr>
            </w:pPr>
            <w:r>
              <w:rPr>
                <w:rFonts w:hint="eastAsia" w:ascii="宋体" w:hAnsi="宋体" w:cs="宋体"/>
                <w:b/>
                <w:bCs/>
                <w:color w:val="000000" w:themeColor="text1"/>
                <w:kern w:val="0"/>
                <w:sz w:val="22"/>
                <w:szCs w:val="22"/>
                <w:lang w:val="en-US" w:eastAsia="zh-CN"/>
                <w14:textFill>
                  <w14:solidFill>
                    <w14:schemeClr w14:val="tx1"/>
                  </w14:solidFill>
                </w14:textFill>
              </w:rPr>
              <w:t>259.62</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tbl>
      <w:tblPr>
        <w:tblStyle w:val="5"/>
        <w:tblW w:w="8620" w:type="dxa"/>
        <w:tblInd w:w="-106" w:type="dxa"/>
        <w:tblLayout w:type="fixed"/>
        <w:tblCellMar>
          <w:top w:w="0" w:type="dxa"/>
          <w:left w:w="108" w:type="dxa"/>
          <w:bottom w:w="0" w:type="dxa"/>
          <w:right w:w="108" w:type="dxa"/>
        </w:tblCellMar>
      </w:tblPr>
      <w:tblGrid>
        <w:gridCol w:w="1094"/>
        <w:gridCol w:w="3496"/>
        <w:gridCol w:w="1360"/>
        <w:gridCol w:w="1440"/>
        <w:gridCol w:w="1230"/>
      </w:tblGrid>
      <w:tr>
        <w:tblPrEx>
          <w:tblCellMar>
            <w:top w:w="0" w:type="dxa"/>
            <w:left w:w="108" w:type="dxa"/>
            <w:bottom w:w="0" w:type="dxa"/>
            <w:right w:w="108" w:type="dxa"/>
          </w:tblCellMar>
        </w:tblPrEx>
        <w:trPr>
          <w:trHeight w:val="522" w:hRule="atLeast"/>
        </w:trPr>
        <w:tc>
          <w:tcPr>
            <w:tcW w:w="459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3</w:t>
            </w: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22" w:hRule="atLeast"/>
        </w:trPr>
        <w:tc>
          <w:tcPr>
            <w:tcW w:w="862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一般公共预算基本支出表</w:t>
            </w:r>
          </w:p>
        </w:tc>
      </w:tr>
      <w:tr>
        <w:tblPrEx>
          <w:tblCellMar>
            <w:top w:w="0" w:type="dxa"/>
            <w:left w:w="108" w:type="dxa"/>
            <w:bottom w:w="0" w:type="dxa"/>
            <w:right w:w="108" w:type="dxa"/>
          </w:tblCellMar>
        </w:tblPrEx>
        <w:trPr>
          <w:trHeight w:val="522" w:hRule="atLeast"/>
        </w:trPr>
        <w:tc>
          <w:tcPr>
            <w:tcW w:w="109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22" w:hRule="atLeast"/>
        </w:trPr>
        <w:tc>
          <w:tcPr>
            <w:tcW w:w="4590" w:type="dxa"/>
            <w:gridSpan w:val="2"/>
            <w:tcBorders>
              <w:top w:val="nil"/>
              <w:left w:val="nil"/>
              <w:bottom w:val="single" w:color="auto" w:sz="4" w:space="0"/>
              <w:right w:val="nil"/>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部门（单位）名称：</w:t>
            </w:r>
            <w:r>
              <w:rPr>
                <w:rFonts w:hint="eastAsia" w:ascii="宋体" w:hAnsi="宋体" w:cs="宋体"/>
                <w:kern w:val="0"/>
                <w:sz w:val="18"/>
                <w:szCs w:val="18"/>
              </w:rPr>
              <w:t>中共长春市二道区委统战部</w:t>
            </w:r>
          </w:p>
        </w:tc>
        <w:tc>
          <w:tcPr>
            <w:tcW w:w="1360" w:type="dxa"/>
            <w:tcBorders>
              <w:top w:val="nil"/>
              <w:left w:val="nil"/>
              <w:bottom w:val="nil"/>
              <w:right w:val="nil"/>
            </w:tcBorders>
            <w:vAlign w:val="bottom"/>
          </w:tcPr>
          <w:p>
            <w:pPr>
              <w:widowControl/>
              <w:jc w:val="center"/>
              <w:rPr>
                <w:rFonts w:ascii="宋体" w:cs="Times New Roman"/>
                <w:color w:val="000000"/>
                <w:kern w:val="0"/>
                <w:sz w:val="24"/>
                <w:szCs w:val="24"/>
              </w:rPr>
            </w:pPr>
          </w:p>
        </w:tc>
        <w:tc>
          <w:tcPr>
            <w:tcW w:w="1440" w:type="dxa"/>
            <w:tcBorders>
              <w:top w:val="nil"/>
              <w:left w:val="nil"/>
              <w:bottom w:val="nil"/>
              <w:right w:val="nil"/>
            </w:tcBorders>
            <w:vAlign w:val="bottom"/>
          </w:tcPr>
          <w:p>
            <w:pPr>
              <w:widowControl/>
              <w:jc w:val="center"/>
              <w:rPr>
                <w:rFonts w:ascii="宋体" w:cs="Times New Roman"/>
                <w:color w:val="000000"/>
                <w:kern w:val="0"/>
                <w:sz w:val="24"/>
                <w:szCs w:val="24"/>
              </w:rPr>
            </w:pPr>
          </w:p>
        </w:tc>
        <w:tc>
          <w:tcPr>
            <w:tcW w:w="1230" w:type="dxa"/>
            <w:tcBorders>
              <w:top w:val="nil"/>
              <w:left w:val="nil"/>
              <w:bottom w:val="nil"/>
              <w:right w:val="nil"/>
            </w:tcBorders>
            <w:vAlign w:val="bottom"/>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单位万元</w:t>
            </w:r>
          </w:p>
        </w:tc>
      </w:tr>
      <w:tr>
        <w:tblPrEx>
          <w:tblCellMar>
            <w:top w:w="0" w:type="dxa"/>
            <w:left w:w="108" w:type="dxa"/>
            <w:bottom w:w="0" w:type="dxa"/>
            <w:right w:w="108" w:type="dxa"/>
          </w:tblCellMar>
        </w:tblPrEx>
        <w:trPr>
          <w:trHeight w:val="522" w:hRule="atLeast"/>
        </w:trPr>
        <w:tc>
          <w:tcPr>
            <w:tcW w:w="45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经济分类</w:t>
            </w:r>
          </w:p>
        </w:tc>
        <w:tc>
          <w:tcPr>
            <w:tcW w:w="403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ascii="宋体" w:hAnsi="宋体" w:cs="宋体"/>
                <w:color w:val="000000"/>
                <w:kern w:val="0"/>
                <w:sz w:val="22"/>
                <w:szCs w:val="22"/>
              </w:rPr>
              <w:t>20</w:t>
            </w:r>
            <w:r>
              <w:rPr>
                <w:rFonts w:hint="eastAsia" w:ascii="宋体" w:hAnsi="宋体" w:cs="宋体"/>
                <w:color w:val="000000"/>
                <w:kern w:val="0"/>
                <w:sz w:val="22"/>
                <w:szCs w:val="22"/>
                <w:lang w:val="en-US" w:eastAsia="zh-CN"/>
              </w:rPr>
              <w:t>23</w:t>
            </w:r>
            <w:r>
              <w:rPr>
                <w:rFonts w:hint="eastAsia" w:ascii="宋体" w:hAnsi="宋体" w:cs="宋体"/>
                <w:color w:val="000000"/>
                <w:kern w:val="0"/>
                <w:sz w:val="22"/>
                <w:szCs w:val="22"/>
              </w:rPr>
              <w:t>年基本支出</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349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人员经费</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工资福利支出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基本工资</w:t>
            </w:r>
          </w:p>
        </w:tc>
        <w:tc>
          <w:tcPr>
            <w:tcW w:w="1360" w:type="dxa"/>
            <w:tcBorders>
              <w:top w:val="nil"/>
              <w:left w:val="nil"/>
              <w:bottom w:val="single" w:color="auto" w:sz="4" w:space="0"/>
              <w:right w:val="single" w:color="auto" w:sz="4" w:space="0"/>
            </w:tcBorders>
            <w:vAlign w:val="center"/>
          </w:tcPr>
          <w:p>
            <w:pPr>
              <w:widowControl/>
              <w:jc w:val="right"/>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95.63</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95.63</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津贴补贴</w:t>
            </w:r>
          </w:p>
        </w:tc>
        <w:tc>
          <w:tcPr>
            <w:tcW w:w="1360" w:type="dxa"/>
            <w:tcBorders>
              <w:top w:val="nil"/>
              <w:left w:val="nil"/>
              <w:bottom w:val="single" w:color="auto" w:sz="4" w:space="0"/>
              <w:right w:val="single" w:color="auto" w:sz="4" w:space="0"/>
            </w:tcBorders>
            <w:vAlign w:val="center"/>
          </w:tcPr>
          <w:p>
            <w:pPr>
              <w:widowControl/>
              <w:jc w:val="right"/>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52</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52</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社会保障缴费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23.3</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23.3</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其他工资福利支出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商品和服务支出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办公费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5.15</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5.15</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印刷费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咨询费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手续费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ascii="宋体" w:hAnsi="宋体" w:cs="宋体"/>
                <w:color w:val="000000"/>
                <w:kern w:val="0"/>
                <w:sz w:val="24"/>
                <w:szCs w:val="24"/>
              </w:rPr>
              <w:t>30205</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水电费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30206</w:t>
            </w:r>
          </w:p>
        </w:tc>
        <w:tc>
          <w:tcPr>
            <w:tcW w:w="3496"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邮电费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0.1</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0.1</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30207</w:t>
            </w:r>
          </w:p>
        </w:tc>
        <w:tc>
          <w:tcPr>
            <w:tcW w:w="3496"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取暖费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30208</w:t>
            </w:r>
          </w:p>
        </w:tc>
        <w:tc>
          <w:tcPr>
            <w:tcW w:w="3496"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物业管理费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ascii="宋体" w:hAnsi="宋体" w:cs="宋体"/>
                <w:color w:val="000000"/>
                <w:kern w:val="0"/>
                <w:sz w:val="24"/>
                <w:szCs w:val="24"/>
              </w:rPr>
              <w:t>30209</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公务用车运行维护费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30210</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差旅费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其他交通费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10.37</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10.37</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维修（护）费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租赁费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会议费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ascii="宋体" w:hAnsi="宋体" w:cs="宋体"/>
                <w:color w:val="000000"/>
                <w:kern w:val="0"/>
                <w:sz w:val="24"/>
                <w:szCs w:val="24"/>
              </w:rPr>
              <w:t>30215</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培训费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30216</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招待费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30217</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劳务费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30218</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工会经费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ascii="宋体" w:hAnsi="宋体" w:cs="宋体"/>
                <w:color w:val="000000"/>
                <w:kern w:val="0"/>
                <w:sz w:val="24"/>
                <w:szCs w:val="24"/>
              </w:rPr>
              <w:t>30219</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福利费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其他商品和服务支出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对个人和家庭补助经费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离休费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离休护理费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退休费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30305</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住房公积金</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30306</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其他对个人和家庭补助支出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30307</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工伤保险</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其他资本性支出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right"/>
              <w:rPr>
                <w:rFonts w:ascii="宋体" w:cs="Times New Roman"/>
                <w:color w:val="000000"/>
                <w:kern w:val="0"/>
                <w:sz w:val="24"/>
                <w:szCs w:val="24"/>
              </w:rPr>
            </w:pPr>
            <w:r>
              <w:rPr>
                <w:rFonts w:ascii="宋体" w:hAnsi="宋体" w:cs="宋体"/>
                <w:color w:val="000000"/>
                <w:kern w:val="0"/>
                <w:sz w:val="24"/>
                <w:szCs w:val="24"/>
              </w:rPr>
              <w:t>30401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办公设备购置</w:t>
            </w:r>
          </w:p>
        </w:tc>
        <w:tc>
          <w:tcPr>
            <w:tcW w:w="136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4"/>
                <w:szCs w:val="24"/>
              </w:rPr>
            </w:pPr>
          </w:p>
        </w:tc>
        <w:tc>
          <w:tcPr>
            <w:tcW w:w="144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4"/>
                <w:szCs w:val="24"/>
              </w:rPr>
            </w:pPr>
          </w:p>
        </w:tc>
        <w:tc>
          <w:tcPr>
            <w:tcW w:w="123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4"/>
                <w:szCs w:val="24"/>
              </w:rPr>
            </w:pPr>
          </w:p>
        </w:tc>
      </w:tr>
      <w:tr>
        <w:tblPrEx>
          <w:tblCellMar>
            <w:top w:w="0" w:type="dxa"/>
            <w:left w:w="108" w:type="dxa"/>
            <w:bottom w:w="0" w:type="dxa"/>
            <w:right w:w="108" w:type="dxa"/>
          </w:tblCellMar>
        </w:tblPrEx>
        <w:trPr>
          <w:trHeight w:val="510" w:hRule="atLeast"/>
        </w:trPr>
        <w:tc>
          <w:tcPr>
            <w:tcW w:w="459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8"/>
                <w:szCs w:val="28"/>
              </w:rPr>
            </w:pP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合</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计</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8"/>
                <w:szCs w:val="28"/>
                <w:lang w:val="en-US" w:eastAsia="zh-CN"/>
              </w:rPr>
            </w:pPr>
            <w:r>
              <w:rPr>
                <w:rFonts w:hint="eastAsia" w:ascii="宋体" w:cs="Times New Roman"/>
                <w:b/>
                <w:bCs/>
                <w:color w:val="000000"/>
                <w:kern w:val="0"/>
                <w:sz w:val="28"/>
                <w:szCs w:val="28"/>
                <w:lang w:val="en-US" w:eastAsia="zh-CN"/>
              </w:rPr>
              <w:t>186.55</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8"/>
                <w:szCs w:val="28"/>
                <w:lang w:val="en-US" w:eastAsia="zh-CN"/>
              </w:rPr>
            </w:pPr>
            <w:r>
              <w:rPr>
                <w:rFonts w:hint="eastAsia" w:ascii="宋体" w:cs="Times New Roman"/>
                <w:b/>
                <w:bCs/>
                <w:color w:val="000000"/>
                <w:kern w:val="0"/>
                <w:sz w:val="28"/>
                <w:szCs w:val="28"/>
                <w:lang w:val="en-US" w:eastAsia="zh-CN"/>
              </w:rPr>
              <w:t>170.93</w:t>
            </w:r>
          </w:p>
        </w:tc>
        <w:tc>
          <w:tcPr>
            <w:tcW w:w="1230" w:type="dxa"/>
            <w:tcBorders>
              <w:top w:val="nil"/>
              <w:left w:val="nil"/>
              <w:bottom w:val="single" w:color="auto" w:sz="4" w:space="0"/>
              <w:right w:val="single" w:color="auto" w:sz="4" w:space="0"/>
            </w:tcBorders>
            <w:vAlign w:val="bottom"/>
          </w:tcPr>
          <w:p>
            <w:pPr>
              <w:widowControl/>
              <w:jc w:val="right"/>
              <w:rPr>
                <w:rFonts w:hint="default" w:ascii="Arial" w:hAnsi="Arial" w:eastAsia="宋体" w:cs="Arial"/>
                <w:b/>
                <w:bCs/>
                <w:color w:val="000000"/>
                <w:kern w:val="0"/>
                <w:sz w:val="28"/>
                <w:szCs w:val="28"/>
                <w:lang w:val="en-US" w:eastAsia="zh-CN"/>
              </w:rPr>
            </w:pPr>
            <w:r>
              <w:rPr>
                <w:rFonts w:hint="eastAsia" w:ascii="Arial" w:hAnsi="Arial" w:cs="Arial"/>
                <w:b/>
                <w:bCs/>
                <w:color w:val="000000"/>
                <w:kern w:val="0"/>
                <w:sz w:val="28"/>
                <w:szCs w:val="28"/>
                <w:lang w:val="en-US" w:eastAsia="zh-CN"/>
              </w:rPr>
              <w:t>15.62</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w:t>
      </w:r>
      <w:r>
        <w:rPr>
          <w:rFonts w:hint="eastAsia" w:ascii="宋体" w:hAnsi="宋体" w:cs="宋体"/>
          <w:color w:val="3E3E3E"/>
          <w:kern w:val="0"/>
          <w:sz w:val="32"/>
          <w:szCs w:val="32"/>
          <w:lang w:eastAsia="zh-CN"/>
        </w:rPr>
        <w:t>2021</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tbl>
      <w:tblPr>
        <w:tblStyle w:val="5"/>
        <w:tblW w:w="8315" w:type="dxa"/>
        <w:tblInd w:w="-106" w:type="dxa"/>
        <w:tblLayout w:type="fixed"/>
        <w:tblCellMar>
          <w:top w:w="0" w:type="dxa"/>
          <w:left w:w="108" w:type="dxa"/>
          <w:bottom w:w="0" w:type="dxa"/>
          <w:right w:w="108" w:type="dxa"/>
        </w:tblCellMar>
      </w:tblPr>
      <w:tblGrid>
        <w:gridCol w:w="3174"/>
        <w:gridCol w:w="926"/>
        <w:gridCol w:w="1680"/>
        <w:gridCol w:w="2535"/>
      </w:tblGrid>
      <w:tr>
        <w:tblPrEx>
          <w:tblCellMar>
            <w:top w:w="0" w:type="dxa"/>
            <w:left w:w="108" w:type="dxa"/>
            <w:bottom w:w="0" w:type="dxa"/>
            <w:right w:w="108" w:type="dxa"/>
          </w:tblCellMar>
        </w:tblPrEx>
        <w:trPr>
          <w:trHeight w:val="559" w:hRule="atLeast"/>
        </w:trPr>
        <w:tc>
          <w:tcPr>
            <w:tcW w:w="410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4</w:t>
            </w:r>
          </w:p>
        </w:tc>
        <w:tc>
          <w:tcPr>
            <w:tcW w:w="16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一般公共预算“三公”经费支出表</w:t>
            </w:r>
          </w:p>
        </w:tc>
      </w:tr>
      <w:tr>
        <w:tblPrEx>
          <w:tblCellMar>
            <w:top w:w="0" w:type="dxa"/>
            <w:left w:w="108" w:type="dxa"/>
            <w:bottom w:w="0" w:type="dxa"/>
            <w:right w:w="108" w:type="dxa"/>
          </w:tblCellMar>
        </w:tblPrEx>
        <w:trPr>
          <w:trHeight w:val="559" w:hRule="atLeast"/>
        </w:trPr>
        <w:tc>
          <w:tcPr>
            <w:tcW w:w="4100" w:type="dxa"/>
            <w:gridSpan w:val="2"/>
            <w:tcBorders>
              <w:top w:val="nil"/>
              <w:left w:val="nil"/>
              <w:bottom w:val="single" w:color="auto" w:sz="4" w:space="0"/>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w:t>
            </w:r>
            <w:r>
              <w:rPr>
                <w:rFonts w:hint="eastAsia" w:ascii="宋体" w:hAnsi="宋体" w:cs="宋体"/>
                <w:kern w:val="0"/>
                <w:sz w:val="18"/>
                <w:szCs w:val="18"/>
              </w:rPr>
              <w:t>中共长春市二道区委统战部</w:t>
            </w:r>
          </w:p>
        </w:tc>
        <w:tc>
          <w:tcPr>
            <w:tcW w:w="16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项</w:t>
            </w:r>
            <w:r>
              <w:rPr>
                <w:rFonts w:ascii="Times New Roman" w:hAnsi="Times New Roman" w:cs="Times New Roman"/>
                <w:b/>
                <w:bCs/>
                <w:color w:val="000000"/>
                <w:kern w:val="0"/>
                <w:sz w:val="18"/>
                <w:szCs w:val="18"/>
              </w:rPr>
              <w:t xml:space="preserve">    </w:t>
            </w:r>
            <w:r>
              <w:rPr>
                <w:rFonts w:hint="eastAsia" w:ascii="宋体" w:hAnsi="宋体" w:cs="宋体"/>
                <w:b/>
                <w:bCs/>
                <w:color w:val="000000"/>
                <w:kern w:val="0"/>
                <w:sz w:val="18"/>
                <w:szCs w:val="18"/>
              </w:rPr>
              <w:t>目</w:t>
            </w:r>
          </w:p>
        </w:tc>
        <w:tc>
          <w:tcPr>
            <w:tcW w:w="92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20</w:t>
            </w:r>
            <w:r>
              <w:rPr>
                <w:rFonts w:hint="eastAsia" w:ascii="Times New Roman" w:hAnsi="Times New Roman" w:cs="Times New Roman"/>
                <w:b/>
                <w:bCs/>
                <w:color w:val="000000"/>
                <w:kern w:val="0"/>
                <w:sz w:val="18"/>
                <w:szCs w:val="18"/>
                <w:lang w:val="en-US" w:eastAsia="zh-CN"/>
              </w:rPr>
              <w:t>23</w:t>
            </w:r>
            <w:r>
              <w:rPr>
                <w:rFonts w:hint="eastAsia" w:ascii="宋体" w:hAnsi="宋体" w:cs="宋体"/>
                <w:b/>
                <w:bCs/>
                <w:color w:val="000000"/>
                <w:kern w:val="0"/>
                <w:sz w:val="18"/>
                <w:szCs w:val="18"/>
              </w:rPr>
              <w:t>年预算数</w:t>
            </w:r>
          </w:p>
        </w:tc>
        <w:tc>
          <w:tcPr>
            <w:tcW w:w="168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比</w:t>
            </w:r>
            <w:r>
              <w:rPr>
                <w:rFonts w:ascii="Times New Roman" w:hAnsi="Times New Roman" w:cs="Times New Roman"/>
                <w:b/>
                <w:bCs/>
                <w:color w:val="000000"/>
                <w:kern w:val="0"/>
                <w:sz w:val="18"/>
                <w:szCs w:val="18"/>
              </w:rPr>
              <w:t>20</w:t>
            </w:r>
            <w:r>
              <w:rPr>
                <w:rFonts w:hint="eastAsia" w:ascii="Times New Roman" w:hAnsi="Times New Roman" w:cs="Times New Roman"/>
                <w:b/>
                <w:bCs/>
                <w:color w:val="000000"/>
                <w:kern w:val="0"/>
                <w:sz w:val="18"/>
                <w:szCs w:val="18"/>
                <w:lang w:val="en-US" w:eastAsia="zh-CN"/>
              </w:rPr>
              <w:t>22</w:t>
            </w:r>
            <w:r>
              <w:rPr>
                <w:rFonts w:hint="eastAsia" w:ascii="宋体" w:hAnsi="宋体" w:cs="宋体"/>
                <w:b/>
                <w:bCs/>
                <w:color w:val="000000"/>
                <w:kern w:val="0"/>
                <w:sz w:val="18"/>
                <w:szCs w:val="18"/>
              </w:rPr>
              <w:t>年预算数增减</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增减变化原因说明</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合</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计</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宋体"/>
                <w:color w:val="000000"/>
                <w:kern w:val="0"/>
                <w:sz w:val="18"/>
                <w:szCs w:val="18"/>
              </w:rPr>
              <w:t>、因公出国（境）费用</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、公务接待费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hint="eastAsia" w:ascii="宋体" w:hAnsi="宋体" w:cs="宋体"/>
                <w:color w:val="000000"/>
                <w:kern w:val="0"/>
                <w:sz w:val="18"/>
                <w:szCs w:val="18"/>
              </w:rPr>
              <w:t>、公务用车费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其中：（</w:t>
            </w:r>
            <w:r>
              <w:rPr>
                <w:rFonts w:ascii="Times New Roman" w:hAnsi="Times New Roman" w:cs="Times New Roman"/>
                <w:color w:val="000000"/>
                <w:kern w:val="0"/>
                <w:sz w:val="18"/>
                <w:szCs w:val="18"/>
              </w:rPr>
              <w:t>1</w:t>
            </w:r>
            <w:r>
              <w:rPr>
                <w:rFonts w:hint="eastAsia" w:ascii="宋体" w:hAnsi="宋体" w:cs="宋体"/>
                <w:color w:val="000000"/>
                <w:kern w:val="0"/>
                <w:sz w:val="18"/>
                <w:szCs w:val="18"/>
              </w:rPr>
              <w:t>）公务用车运行维护费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w:t>
            </w: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）公务用车购置费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r>
              <w:rPr>
                <w:rFonts w:hint="eastAsia" w:ascii="华文细黑" w:hAnsi="华文细黑" w:eastAsia="华文细黑" w:cs="华文细黑"/>
                <w:color w:val="000000"/>
                <w:kern w:val="0"/>
                <w:sz w:val="18"/>
                <w:szCs w:val="18"/>
              </w:rPr>
              <w:t>　</w:t>
            </w:r>
          </w:p>
        </w:tc>
        <w:tc>
          <w:tcPr>
            <w:tcW w:w="168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r>
      <w:tr>
        <w:tblPrEx>
          <w:tblCellMar>
            <w:top w:w="0" w:type="dxa"/>
            <w:left w:w="108" w:type="dxa"/>
            <w:bottom w:w="0" w:type="dxa"/>
            <w:right w:w="108" w:type="dxa"/>
          </w:tblCellMar>
        </w:tblPrEx>
        <w:trPr>
          <w:trHeight w:val="559" w:hRule="atLeast"/>
        </w:trPr>
        <w:tc>
          <w:tcPr>
            <w:tcW w:w="4100" w:type="dxa"/>
            <w:gridSpan w:val="2"/>
            <w:tcBorders>
              <w:top w:val="nil"/>
              <w:left w:val="nil"/>
              <w:bottom w:val="nil"/>
              <w:right w:val="single" w:color="000000"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说明：</w:t>
            </w:r>
          </w:p>
        </w:tc>
        <w:tc>
          <w:tcPr>
            <w:tcW w:w="16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1</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的单位范围包括部门本级及所属</w:t>
            </w:r>
            <w:r>
              <w:rPr>
                <w:rFonts w:ascii="Times New Roman" w:hAnsi="Times New Roman" w:cs="Times New Roman"/>
                <w:color w:val="000000"/>
                <w:kern w:val="0"/>
                <w:sz w:val="18"/>
                <w:szCs w:val="18"/>
                <w:u w:val="single"/>
              </w:rPr>
              <w:t xml:space="preserve"> </w:t>
            </w:r>
            <w:r>
              <w:rPr>
                <w:rFonts w:hint="eastAsia" w:ascii="Times New Roman" w:hAnsi="Times New Roman" w:cs="Times New Roman"/>
                <w:color w:val="000000"/>
                <w:kern w:val="0"/>
                <w:sz w:val="18"/>
                <w:szCs w:val="18"/>
                <w:u w:val="single"/>
                <w:lang w:val="en-US" w:eastAsia="zh-CN"/>
              </w:rPr>
              <w:t>1</w:t>
            </w:r>
            <w:r>
              <w:rPr>
                <w:rFonts w:hint="eastAsia" w:ascii="宋体" w:hAnsi="宋体" w:cs="宋体"/>
                <w:color w:val="000000"/>
                <w:kern w:val="0"/>
                <w:sz w:val="18"/>
                <w:szCs w:val="18"/>
              </w:rPr>
              <w:t>个预算单位。</w:t>
            </w:r>
            <w:r>
              <w:rPr>
                <w:rFonts w:ascii="Times New Roman" w:hAnsi="Times New Roman" w:cs="Times New Roman"/>
                <w:color w:val="000000"/>
                <w:kern w:val="0"/>
                <w:sz w:val="18"/>
                <w:szCs w:val="18"/>
              </w:rPr>
              <w:t xml:space="preserve">   </w:t>
            </w: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2</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的实有人员</w:t>
            </w:r>
            <w:r>
              <w:rPr>
                <w:rFonts w:hint="eastAsia" w:ascii="Times New Roman" w:hAnsi="Times New Roman" w:cs="Times New Roman"/>
                <w:color w:val="000000"/>
                <w:kern w:val="0"/>
                <w:sz w:val="18"/>
                <w:szCs w:val="18"/>
                <w:lang w:val="en-US" w:eastAsia="zh-CN"/>
              </w:rPr>
              <w:t>17</w:t>
            </w:r>
            <w:r>
              <w:rPr>
                <w:rFonts w:hint="eastAsia" w:ascii="宋体" w:hAnsi="宋体" w:cs="宋体"/>
                <w:color w:val="000000"/>
                <w:kern w:val="0"/>
                <w:sz w:val="18"/>
                <w:szCs w:val="18"/>
              </w:rPr>
              <w:t>人，其中：在职人员</w:t>
            </w:r>
            <w:r>
              <w:rPr>
                <w:rFonts w:ascii="Times New Roman" w:hAnsi="Times New Roman" w:cs="Times New Roman"/>
                <w:color w:val="000000"/>
                <w:kern w:val="0"/>
                <w:sz w:val="18"/>
                <w:szCs w:val="18"/>
              </w:rPr>
              <w:t xml:space="preserve"> </w:t>
            </w:r>
            <w:r>
              <w:rPr>
                <w:rFonts w:hint="eastAsia" w:ascii="Times New Roman" w:hAnsi="Times New Roman" w:cs="Times New Roman"/>
                <w:color w:val="000000"/>
                <w:kern w:val="0"/>
                <w:sz w:val="18"/>
                <w:szCs w:val="18"/>
                <w:lang w:val="en-US" w:eastAsia="zh-CN"/>
              </w:rPr>
              <w:t>11</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人，退休人员</w:t>
            </w:r>
            <w:r>
              <w:rPr>
                <w:rFonts w:hint="eastAsia" w:ascii="Times New Roman" w:hAnsi="Times New Roman" w:cs="Times New Roman"/>
                <w:color w:val="000000"/>
                <w:kern w:val="0"/>
                <w:sz w:val="18"/>
                <w:szCs w:val="18"/>
                <w:lang w:val="en-US" w:eastAsia="zh-CN"/>
              </w:rPr>
              <w:t>6</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人。</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w:t>
      </w:r>
      <w:r>
        <w:rPr>
          <w:rFonts w:hint="eastAsia" w:ascii="宋体" w:hAnsi="宋体" w:cs="宋体"/>
          <w:color w:val="3E3E3E"/>
          <w:kern w:val="0"/>
          <w:sz w:val="32"/>
          <w:szCs w:val="32"/>
          <w:lang w:eastAsia="zh-CN"/>
        </w:rPr>
        <w:t>2021</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tbl>
      <w:tblPr>
        <w:tblStyle w:val="5"/>
        <w:tblW w:w="8630" w:type="dxa"/>
        <w:tblInd w:w="-106" w:type="dxa"/>
        <w:tblLayout w:type="fixed"/>
        <w:tblCellMar>
          <w:top w:w="0" w:type="dxa"/>
          <w:left w:w="108" w:type="dxa"/>
          <w:bottom w:w="0" w:type="dxa"/>
          <w:right w:w="108" w:type="dxa"/>
        </w:tblCellMar>
      </w:tblPr>
      <w:tblGrid>
        <w:gridCol w:w="1720"/>
        <w:gridCol w:w="2670"/>
        <w:gridCol w:w="1400"/>
        <w:gridCol w:w="1480"/>
        <w:gridCol w:w="1360"/>
      </w:tblGrid>
      <w:tr>
        <w:tblPrEx>
          <w:tblCellMar>
            <w:top w:w="0" w:type="dxa"/>
            <w:left w:w="108" w:type="dxa"/>
            <w:bottom w:w="0" w:type="dxa"/>
            <w:right w:w="108" w:type="dxa"/>
          </w:tblCellMar>
        </w:tblPrEx>
        <w:trPr>
          <w:trHeight w:val="420" w:hRule="atLeast"/>
        </w:trPr>
        <w:tc>
          <w:tcPr>
            <w:tcW w:w="172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5</w:t>
            </w: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863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政府性基金预算支出表</w:t>
            </w:r>
          </w:p>
        </w:tc>
      </w:tr>
      <w:tr>
        <w:tblPrEx>
          <w:tblCellMar>
            <w:top w:w="0" w:type="dxa"/>
            <w:left w:w="108" w:type="dxa"/>
            <w:bottom w:w="0" w:type="dxa"/>
            <w:right w:w="108" w:type="dxa"/>
          </w:tblCellMar>
        </w:tblPrEx>
        <w:trPr>
          <w:trHeight w:val="195" w:hRule="atLeast"/>
        </w:trPr>
        <w:tc>
          <w:tcPr>
            <w:tcW w:w="1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4390" w:type="dxa"/>
            <w:gridSpan w:val="2"/>
            <w:tcBorders>
              <w:top w:val="nil"/>
              <w:left w:val="nil"/>
              <w:bottom w:val="single" w:color="auto" w:sz="4" w:space="0"/>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w:t>
            </w:r>
            <w:r>
              <w:rPr>
                <w:rFonts w:hint="eastAsia" w:ascii="宋体" w:hAnsi="宋体" w:cs="宋体"/>
                <w:kern w:val="0"/>
                <w:sz w:val="18"/>
                <w:szCs w:val="18"/>
              </w:rPr>
              <w:t>中共长春市二道区委统战部</w:t>
            </w:r>
          </w:p>
        </w:tc>
        <w:tc>
          <w:tcPr>
            <w:tcW w:w="140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48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360" w:type="dxa"/>
            <w:tcBorders>
              <w:top w:val="nil"/>
              <w:left w:val="nil"/>
              <w:bottom w:val="nil"/>
              <w:right w:val="nil"/>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499" w:hRule="atLeast"/>
        </w:trPr>
        <w:tc>
          <w:tcPr>
            <w:tcW w:w="1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267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42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本年政府性基金预算财政拨款支出</w:t>
            </w:r>
          </w:p>
        </w:tc>
      </w:tr>
      <w:tr>
        <w:tblPrEx>
          <w:tblCellMar>
            <w:top w:w="0" w:type="dxa"/>
            <w:left w:w="108" w:type="dxa"/>
            <w:bottom w:w="0" w:type="dxa"/>
            <w:right w:w="108" w:type="dxa"/>
          </w:tblCellMar>
        </w:tblPrEx>
        <w:trPr>
          <w:trHeight w:val="499"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26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8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工资福利支出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30101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基本工资</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30102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社会保障费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商品和服务支出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办公费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水电费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30203</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邮电费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取暖费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30205</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公务用车维护费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30206</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差旅费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30207</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维护费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30208</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培训费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30209</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招待费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30210</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工会经费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30211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hint="eastAsia" w:ascii="宋体" w:hAnsi="宋体" w:cs="宋体"/>
                <w:b/>
                <w:bCs/>
                <w:color w:val="000000"/>
                <w:kern w:val="0"/>
                <w:sz w:val="22"/>
                <w:szCs w:val="22"/>
              </w:rPr>
              <w:t>福利费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303</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对个人和家庭补助支出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退休费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公积金</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30303</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其他对个人和家庭补助支出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工伤保险</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其他资本性支出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30401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大型修缮</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2"/>
                <w:szCs w:val="22"/>
              </w:rPr>
            </w:pPr>
            <w:r>
              <w:rPr>
                <w:rFonts w:hint="eastAsia" w:ascii="宋体" w:hAnsi="宋体" w:cs="宋体"/>
                <w:b/>
                <w:bCs/>
                <w:color w:val="000000"/>
                <w:kern w:val="0"/>
                <w:sz w:val="22"/>
                <w:szCs w:val="22"/>
              </w:rPr>
              <w:t>合计</w:t>
            </w:r>
          </w:p>
        </w:tc>
        <w:tc>
          <w:tcPr>
            <w:tcW w:w="267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tbl>
      <w:tblPr>
        <w:tblStyle w:val="5"/>
        <w:tblW w:w="8379" w:type="dxa"/>
        <w:tblInd w:w="-106" w:type="dxa"/>
        <w:tblLayout w:type="fixed"/>
        <w:tblCellMar>
          <w:top w:w="0" w:type="dxa"/>
          <w:left w:w="108" w:type="dxa"/>
          <w:bottom w:w="0" w:type="dxa"/>
          <w:right w:w="108" w:type="dxa"/>
        </w:tblCellMar>
      </w:tblPr>
      <w:tblGrid>
        <w:gridCol w:w="2380"/>
        <w:gridCol w:w="187"/>
        <w:gridCol w:w="953"/>
        <w:gridCol w:w="464"/>
        <w:gridCol w:w="2016"/>
        <w:gridCol w:w="819"/>
        <w:gridCol w:w="1560"/>
      </w:tblGrid>
      <w:tr>
        <w:tblPrEx>
          <w:tblCellMar>
            <w:top w:w="0" w:type="dxa"/>
            <w:left w:w="108" w:type="dxa"/>
            <w:bottom w:w="0" w:type="dxa"/>
            <w:right w:w="108" w:type="dxa"/>
          </w:tblCellMar>
        </w:tblPrEx>
        <w:trPr>
          <w:trHeight w:val="559" w:hRule="atLeast"/>
        </w:trPr>
        <w:tc>
          <w:tcPr>
            <w:tcW w:w="238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6</w:t>
            </w:r>
          </w:p>
        </w:tc>
        <w:tc>
          <w:tcPr>
            <w:tcW w:w="11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8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37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79" w:type="dxa"/>
            <w:gridSpan w:val="7"/>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部门收支总表</w:t>
            </w:r>
          </w:p>
        </w:tc>
      </w:tr>
      <w:tr>
        <w:tblPrEx>
          <w:tblCellMar>
            <w:top w:w="0" w:type="dxa"/>
            <w:left w:w="108" w:type="dxa"/>
            <w:bottom w:w="0" w:type="dxa"/>
            <w:right w:w="108" w:type="dxa"/>
          </w:tblCellMar>
        </w:tblPrEx>
        <w:trPr>
          <w:trHeight w:val="559" w:hRule="atLeast"/>
        </w:trPr>
        <w:tc>
          <w:tcPr>
            <w:tcW w:w="6000" w:type="dxa"/>
            <w:gridSpan w:val="5"/>
            <w:tcBorders>
              <w:top w:val="nil"/>
              <w:left w:val="nil"/>
              <w:bottom w:val="nil"/>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w:t>
            </w:r>
            <w:r>
              <w:rPr>
                <w:rFonts w:hint="eastAsia" w:ascii="宋体" w:hAnsi="宋体" w:cs="宋体"/>
                <w:kern w:val="0"/>
                <w:sz w:val="18"/>
                <w:szCs w:val="18"/>
              </w:rPr>
              <w:t>中共长春市二道区委统战部</w:t>
            </w:r>
          </w:p>
        </w:tc>
        <w:tc>
          <w:tcPr>
            <w:tcW w:w="2379" w:type="dxa"/>
            <w:gridSpan w:val="2"/>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559" w:hRule="atLeast"/>
        </w:trPr>
        <w:tc>
          <w:tcPr>
            <w:tcW w:w="3984"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收</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入</w:t>
            </w:r>
          </w:p>
        </w:tc>
        <w:tc>
          <w:tcPr>
            <w:tcW w:w="4395" w:type="dxa"/>
            <w:gridSpan w:val="3"/>
            <w:tcBorders>
              <w:top w:val="single" w:color="auto" w:sz="4" w:space="0"/>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支</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417"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c>
          <w:tcPr>
            <w:tcW w:w="2835"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560" w:type="dxa"/>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一、一般公共预算财政拨款</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259.62</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一、一般公共服务</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259.62</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二、政府性基金预算财政拨款</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二、医疗卫生</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三、事业收入</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三、住房保障支出</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四、经营收入</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四、环境保护</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五、其他收入</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五、社会保险基金支出</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六、资源勘探电子信息等事务</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560"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本年收入合计</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lang w:val="en-US" w:eastAsia="zh-CN"/>
              </w:rPr>
              <w:t>259.62</w:t>
            </w:r>
            <w:r>
              <w:rPr>
                <w:rFonts w:hint="eastAsia" w:ascii="宋体" w:hAnsi="宋体" w:cs="宋体"/>
                <w:b/>
                <w:bCs/>
                <w:color w:val="000000"/>
                <w:kern w:val="0"/>
                <w:sz w:val="18"/>
                <w:szCs w:val="18"/>
              </w:rPr>
              <w:t>　</w:t>
            </w:r>
          </w:p>
        </w:tc>
        <w:tc>
          <w:tcPr>
            <w:tcW w:w="2835" w:type="dxa"/>
            <w:gridSpan w:val="2"/>
            <w:tcBorders>
              <w:top w:val="single" w:color="auto" w:sz="4" w:space="0"/>
              <w:left w:val="nil"/>
              <w:bottom w:val="single" w:color="auto" w:sz="4" w:space="0"/>
              <w:right w:val="single" w:color="auto" w:sz="4" w:space="0"/>
            </w:tcBorders>
            <w:vAlign w:val="bottom"/>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本年支出合计</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lang w:val="en-US" w:eastAsia="zh-CN"/>
              </w:rPr>
              <w:t>259.62</w:t>
            </w: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用事业基金弥补收支差额</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结转下年</w:t>
            </w:r>
          </w:p>
        </w:tc>
        <w:tc>
          <w:tcPr>
            <w:tcW w:w="156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上年结转</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黑体" w:hAnsi="黑体" w:eastAsia="黑体" w:cs="Times New Roman"/>
                <w:b/>
                <w:bCs/>
                <w:color w:val="000000"/>
                <w:kern w:val="0"/>
                <w:sz w:val="18"/>
                <w:szCs w:val="18"/>
              </w:rPr>
            </w:pPr>
            <w:r>
              <w:rPr>
                <w:rFonts w:hint="eastAsia" w:ascii="黑体" w:hAnsi="黑体" w:eastAsia="黑体" w:cs="黑体"/>
                <w:b/>
                <w:bCs/>
                <w:color w:val="000000"/>
                <w:kern w:val="0"/>
                <w:sz w:val="18"/>
                <w:szCs w:val="18"/>
              </w:rPr>
              <w:t>收入总计</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黑体" w:hAnsi="黑体" w:eastAsia="黑体" w:cs="黑体"/>
                <w:b/>
                <w:bCs/>
                <w:color w:val="000000"/>
                <w:kern w:val="0"/>
                <w:sz w:val="18"/>
                <w:szCs w:val="18"/>
                <w:lang w:val="en-US" w:eastAsia="zh-CN"/>
              </w:rPr>
            </w:pPr>
            <w:r>
              <w:rPr>
                <w:rFonts w:hint="eastAsia" w:ascii="黑体" w:hAnsi="黑体" w:eastAsia="黑体" w:cs="黑体"/>
                <w:b/>
                <w:bCs/>
                <w:color w:val="000000"/>
                <w:kern w:val="0"/>
                <w:sz w:val="18"/>
                <w:szCs w:val="18"/>
                <w:lang w:val="en-US" w:eastAsia="zh-CN"/>
              </w:rPr>
              <w:t>259.62</w:t>
            </w:r>
          </w:p>
        </w:tc>
        <w:tc>
          <w:tcPr>
            <w:tcW w:w="2835" w:type="dxa"/>
            <w:gridSpan w:val="2"/>
            <w:tcBorders>
              <w:top w:val="nil"/>
              <w:left w:val="nil"/>
              <w:bottom w:val="single" w:color="auto" w:sz="4" w:space="0"/>
              <w:right w:val="single" w:color="auto" w:sz="4" w:space="0"/>
            </w:tcBorders>
            <w:vAlign w:val="bottom"/>
          </w:tcPr>
          <w:p>
            <w:pPr>
              <w:widowControl/>
              <w:jc w:val="center"/>
              <w:rPr>
                <w:rFonts w:ascii="黑体" w:hAnsi="黑体" w:eastAsia="黑体" w:cs="Times New Roman"/>
                <w:b/>
                <w:bCs/>
                <w:color w:val="000000"/>
                <w:kern w:val="0"/>
                <w:sz w:val="18"/>
                <w:szCs w:val="18"/>
              </w:rPr>
            </w:pPr>
            <w:r>
              <w:rPr>
                <w:rFonts w:hint="eastAsia" w:ascii="黑体" w:hAnsi="黑体" w:eastAsia="黑体" w:cs="黑体"/>
                <w:b/>
                <w:bCs/>
                <w:color w:val="000000"/>
                <w:kern w:val="0"/>
                <w:sz w:val="18"/>
                <w:szCs w:val="18"/>
              </w:rPr>
              <w:t>支出总计</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8"/>
                <w:szCs w:val="18"/>
                <w:lang w:val="en-US" w:eastAsia="zh-CN"/>
              </w:rPr>
            </w:pPr>
            <w:r>
              <w:rPr>
                <w:rFonts w:hint="eastAsia" w:ascii="宋体" w:hAnsi="宋体" w:cs="宋体"/>
                <w:b/>
                <w:bCs/>
                <w:color w:val="000000"/>
                <w:kern w:val="0"/>
                <w:sz w:val="18"/>
                <w:szCs w:val="18"/>
                <w:lang w:val="en-US" w:eastAsia="zh-CN"/>
              </w:rPr>
              <w:t>259.62</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tbl>
      <w:tblPr>
        <w:tblStyle w:val="5"/>
        <w:tblW w:w="9433" w:type="dxa"/>
        <w:tblInd w:w="-106" w:type="dxa"/>
        <w:tblLayout w:type="fixed"/>
        <w:tblCellMar>
          <w:top w:w="0" w:type="dxa"/>
          <w:left w:w="108" w:type="dxa"/>
          <w:bottom w:w="0" w:type="dxa"/>
          <w:right w:w="108" w:type="dxa"/>
        </w:tblCellMar>
      </w:tblPr>
      <w:tblGrid>
        <w:gridCol w:w="4102"/>
        <w:gridCol w:w="636"/>
        <w:gridCol w:w="636"/>
        <w:gridCol w:w="576"/>
        <w:gridCol w:w="516"/>
        <w:gridCol w:w="391"/>
        <w:gridCol w:w="457"/>
        <w:gridCol w:w="337"/>
        <w:gridCol w:w="516"/>
        <w:gridCol w:w="337"/>
        <w:gridCol w:w="337"/>
        <w:gridCol w:w="337"/>
        <w:gridCol w:w="255"/>
      </w:tblGrid>
      <w:tr>
        <w:tblPrEx>
          <w:tblCellMar>
            <w:top w:w="0" w:type="dxa"/>
            <w:left w:w="108" w:type="dxa"/>
            <w:bottom w:w="0" w:type="dxa"/>
            <w:right w:w="108" w:type="dxa"/>
          </w:tblCellMar>
        </w:tblPrEx>
        <w:trPr>
          <w:trHeight w:val="255" w:hRule="atLeast"/>
        </w:trPr>
        <w:tc>
          <w:tcPr>
            <w:tcW w:w="4102" w:type="dxa"/>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7</w:t>
            </w:r>
          </w:p>
        </w:tc>
        <w:tc>
          <w:tcPr>
            <w:tcW w:w="636" w:type="dxa"/>
            <w:tcBorders>
              <w:top w:val="nil"/>
              <w:left w:val="nil"/>
              <w:bottom w:val="nil"/>
              <w:right w:val="nil"/>
            </w:tcBorders>
            <w:vAlign w:val="bottom"/>
          </w:tcPr>
          <w:p>
            <w:pPr>
              <w:widowControl/>
              <w:jc w:val="left"/>
              <w:rPr>
                <w:rFonts w:ascii="宋体" w:cs="Times New Roman"/>
                <w:kern w:val="0"/>
                <w:sz w:val="20"/>
                <w:szCs w:val="20"/>
              </w:rPr>
            </w:pPr>
          </w:p>
        </w:tc>
        <w:tc>
          <w:tcPr>
            <w:tcW w:w="636" w:type="dxa"/>
            <w:tcBorders>
              <w:top w:val="nil"/>
              <w:left w:val="nil"/>
              <w:bottom w:val="nil"/>
              <w:right w:val="nil"/>
            </w:tcBorders>
            <w:vAlign w:val="bottom"/>
          </w:tcPr>
          <w:p>
            <w:pPr>
              <w:widowControl/>
              <w:jc w:val="left"/>
              <w:rPr>
                <w:rFonts w:ascii="宋体" w:cs="Times New Roman"/>
                <w:kern w:val="0"/>
                <w:sz w:val="20"/>
                <w:szCs w:val="20"/>
              </w:rPr>
            </w:pPr>
          </w:p>
        </w:tc>
        <w:tc>
          <w:tcPr>
            <w:tcW w:w="576" w:type="dxa"/>
            <w:tcBorders>
              <w:top w:val="nil"/>
              <w:left w:val="nil"/>
              <w:bottom w:val="nil"/>
              <w:right w:val="nil"/>
            </w:tcBorders>
            <w:vAlign w:val="bottom"/>
          </w:tcPr>
          <w:p>
            <w:pPr>
              <w:widowControl/>
              <w:jc w:val="left"/>
              <w:rPr>
                <w:rFonts w:ascii="宋体" w:cs="Times New Roman"/>
                <w:kern w:val="0"/>
                <w:sz w:val="20"/>
                <w:szCs w:val="20"/>
              </w:rPr>
            </w:pPr>
          </w:p>
        </w:tc>
        <w:tc>
          <w:tcPr>
            <w:tcW w:w="516" w:type="dxa"/>
            <w:tcBorders>
              <w:top w:val="nil"/>
              <w:left w:val="nil"/>
              <w:bottom w:val="nil"/>
              <w:right w:val="nil"/>
            </w:tcBorders>
            <w:vAlign w:val="bottom"/>
          </w:tcPr>
          <w:p>
            <w:pPr>
              <w:widowControl/>
              <w:jc w:val="left"/>
              <w:rPr>
                <w:rFonts w:ascii="宋体" w:cs="Times New Roman"/>
                <w:kern w:val="0"/>
                <w:sz w:val="20"/>
                <w:szCs w:val="20"/>
              </w:rPr>
            </w:pPr>
          </w:p>
        </w:tc>
        <w:tc>
          <w:tcPr>
            <w:tcW w:w="391" w:type="dxa"/>
            <w:tcBorders>
              <w:top w:val="nil"/>
              <w:left w:val="nil"/>
              <w:bottom w:val="nil"/>
              <w:right w:val="nil"/>
            </w:tcBorders>
            <w:vAlign w:val="bottom"/>
          </w:tcPr>
          <w:p>
            <w:pPr>
              <w:widowControl/>
              <w:jc w:val="left"/>
              <w:rPr>
                <w:rFonts w:ascii="宋体" w:cs="Times New Roman"/>
                <w:kern w:val="0"/>
                <w:sz w:val="20"/>
                <w:szCs w:val="20"/>
              </w:rPr>
            </w:pPr>
          </w:p>
        </w:tc>
        <w:tc>
          <w:tcPr>
            <w:tcW w:w="45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516"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255"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9433" w:type="dxa"/>
            <w:gridSpan w:val="13"/>
            <w:tcBorders>
              <w:top w:val="nil"/>
              <w:left w:val="nil"/>
              <w:bottom w:val="nil"/>
              <w:right w:val="nil"/>
            </w:tcBorders>
            <w:vAlign w:val="bottom"/>
          </w:tcPr>
          <w:tbl>
            <w:tblPr>
              <w:tblStyle w:val="5"/>
              <w:tblW w:w="19030" w:type="dxa"/>
              <w:tblInd w:w="-106" w:type="dxa"/>
              <w:tblLayout w:type="fixed"/>
              <w:tblCellMar>
                <w:top w:w="0" w:type="dxa"/>
                <w:left w:w="108" w:type="dxa"/>
                <w:bottom w:w="0" w:type="dxa"/>
                <w:right w:w="108" w:type="dxa"/>
              </w:tblCellMar>
            </w:tblPr>
            <w:tblGrid>
              <w:gridCol w:w="923"/>
              <w:gridCol w:w="2268"/>
              <w:gridCol w:w="780"/>
              <w:gridCol w:w="767"/>
              <w:gridCol w:w="778"/>
              <w:gridCol w:w="434"/>
              <w:gridCol w:w="516"/>
              <w:gridCol w:w="391"/>
              <w:gridCol w:w="457"/>
              <w:gridCol w:w="337"/>
              <w:gridCol w:w="516"/>
              <w:gridCol w:w="337"/>
              <w:gridCol w:w="337"/>
              <w:gridCol w:w="337"/>
              <w:gridCol w:w="337"/>
              <w:gridCol w:w="9515"/>
            </w:tblGrid>
            <w:tr>
              <w:tblPrEx>
                <w:tblCellMar>
                  <w:top w:w="0" w:type="dxa"/>
                  <w:left w:w="108" w:type="dxa"/>
                  <w:bottom w:w="0" w:type="dxa"/>
                  <w:right w:w="108" w:type="dxa"/>
                </w:tblCellMar>
              </w:tblPrEx>
              <w:trPr>
                <w:trHeight w:val="510" w:hRule="atLeast"/>
              </w:trPr>
              <w:tc>
                <w:tcPr>
                  <w:tcW w:w="9515" w:type="dxa"/>
                  <w:gridSpan w:val="15"/>
                  <w:tcBorders>
                    <w:top w:val="nil"/>
                    <w:left w:val="nil"/>
                    <w:bottom w:val="nil"/>
                    <w:right w:val="nil"/>
                  </w:tcBorders>
                  <w:vAlign w:val="bottom"/>
                </w:tcPr>
                <w:p>
                  <w:pPr>
                    <w:widowControl/>
                    <w:jc w:val="center"/>
                    <w:rPr>
                      <w:rFonts w:ascii="宋体" w:cs="Times New Roman"/>
                      <w:b/>
                      <w:bCs/>
                      <w:color w:val="000000"/>
                      <w:kern w:val="0"/>
                      <w:sz w:val="40"/>
                      <w:szCs w:val="40"/>
                    </w:rPr>
                  </w:pPr>
                  <w:r>
                    <w:rPr>
                      <w:rFonts w:hint="eastAsia" w:ascii="宋体" w:hAnsi="宋体" w:cs="宋体"/>
                      <w:b/>
                      <w:bCs/>
                      <w:color w:val="000000"/>
                      <w:kern w:val="0"/>
                      <w:sz w:val="40"/>
                      <w:szCs w:val="40"/>
                    </w:rPr>
                    <w:t>部门收入总表</w:t>
                  </w:r>
                </w:p>
              </w:tc>
              <w:tc>
                <w:tcPr>
                  <w:tcW w:w="9515" w:type="dxa"/>
                  <w:tcBorders>
                    <w:top w:val="nil"/>
                    <w:left w:val="nil"/>
                    <w:bottom w:val="nil"/>
                    <w:right w:val="nil"/>
                  </w:tcBorders>
                  <w:vAlign w:val="bottom"/>
                </w:tcPr>
                <w:p>
                  <w:pPr>
                    <w:widowControl/>
                    <w:jc w:val="center"/>
                    <w:rPr>
                      <w:rFonts w:hint="eastAsia" w:ascii="宋体" w:hAnsi="宋体" w:cs="宋体"/>
                      <w:b/>
                      <w:bCs/>
                      <w:color w:val="000000"/>
                      <w:kern w:val="0"/>
                      <w:sz w:val="40"/>
                      <w:szCs w:val="40"/>
                    </w:rPr>
                  </w:pPr>
                </w:p>
              </w:tc>
            </w:tr>
            <w:tr>
              <w:tblPrEx>
                <w:tblCellMar>
                  <w:top w:w="0" w:type="dxa"/>
                  <w:left w:w="108" w:type="dxa"/>
                  <w:bottom w:w="0" w:type="dxa"/>
                  <w:right w:w="108" w:type="dxa"/>
                </w:tblCellMar>
              </w:tblPrEx>
              <w:trPr>
                <w:trHeight w:val="330" w:hRule="atLeast"/>
              </w:trPr>
              <w:tc>
                <w:tcPr>
                  <w:tcW w:w="4738" w:type="dxa"/>
                  <w:gridSpan w:val="4"/>
                  <w:tcBorders>
                    <w:top w:val="nil"/>
                    <w:left w:val="nil"/>
                    <w:bottom w:val="single" w:color="auto" w:sz="4" w:space="0"/>
                    <w:right w:val="nil"/>
                  </w:tcBorders>
                  <w:vAlign w:val="bottom"/>
                </w:tcPr>
                <w:p>
                  <w:pPr>
                    <w:widowControl/>
                    <w:jc w:val="left"/>
                    <w:rPr>
                      <w:rFonts w:ascii="宋体" w:cs="Times New Roman"/>
                      <w:kern w:val="0"/>
                      <w:sz w:val="12"/>
                      <w:szCs w:val="12"/>
                    </w:rPr>
                  </w:pPr>
                  <w:r>
                    <w:rPr>
                      <w:rFonts w:hint="eastAsia" w:ascii="宋体" w:hAnsi="宋体" w:cs="宋体"/>
                      <w:kern w:val="0"/>
                      <w:sz w:val="12"/>
                      <w:szCs w:val="12"/>
                    </w:rPr>
                    <w:t>部门（单位）名称：</w:t>
                  </w:r>
                  <w:r>
                    <w:rPr>
                      <w:rFonts w:hint="eastAsia" w:ascii="宋体" w:hAnsi="宋体" w:cs="宋体"/>
                      <w:kern w:val="0"/>
                      <w:sz w:val="20"/>
                      <w:szCs w:val="20"/>
                    </w:rPr>
                    <w:t>中共长春市二道区委统战部</w:t>
                  </w:r>
                </w:p>
              </w:tc>
              <w:tc>
                <w:tcPr>
                  <w:tcW w:w="778"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434"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16"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91"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45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16"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674" w:type="dxa"/>
                  <w:gridSpan w:val="2"/>
                  <w:tcBorders>
                    <w:top w:val="nil"/>
                    <w:left w:val="nil"/>
                    <w:bottom w:val="single" w:color="auto" w:sz="4" w:space="0"/>
                    <w:right w:val="nil"/>
                  </w:tcBorders>
                  <w:vAlign w:val="bottom"/>
                </w:tcPr>
                <w:p>
                  <w:pPr>
                    <w:widowControl/>
                    <w:jc w:val="right"/>
                    <w:rPr>
                      <w:rFonts w:ascii="宋体" w:cs="Times New Roman"/>
                      <w:b/>
                      <w:bCs/>
                      <w:color w:val="000000"/>
                      <w:kern w:val="0"/>
                      <w:sz w:val="12"/>
                      <w:szCs w:val="12"/>
                    </w:rPr>
                  </w:pPr>
                  <w:r>
                    <w:rPr>
                      <w:rFonts w:hint="eastAsia" w:ascii="宋体" w:hAnsi="宋体" w:cs="宋体"/>
                      <w:b/>
                      <w:bCs/>
                      <w:color w:val="000000"/>
                      <w:kern w:val="0"/>
                      <w:sz w:val="12"/>
                      <w:szCs w:val="12"/>
                    </w:rPr>
                    <w:t>单位：万元</w:t>
                  </w:r>
                </w:p>
              </w:tc>
              <w:tc>
                <w:tcPr>
                  <w:tcW w:w="9515" w:type="dxa"/>
                  <w:tcBorders>
                    <w:top w:val="nil"/>
                    <w:left w:val="nil"/>
                    <w:bottom w:val="single" w:color="auto" w:sz="4" w:space="0"/>
                    <w:right w:val="nil"/>
                  </w:tcBorders>
                  <w:vAlign w:val="bottom"/>
                </w:tcPr>
                <w:p>
                  <w:pPr>
                    <w:widowControl/>
                    <w:jc w:val="right"/>
                    <w:rPr>
                      <w:rFonts w:hint="eastAsia" w:ascii="宋体" w:hAnsi="宋体" w:cs="宋体"/>
                      <w:b/>
                      <w:bCs/>
                      <w:color w:val="000000"/>
                      <w:kern w:val="0"/>
                      <w:sz w:val="12"/>
                      <w:szCs w:val="12"/>
                    </w:rPr>
                  </w:pPr>
                </w:p>
              </w:tc>
            </w:tr>
            <w:tr>
              <w:tblPrEx>
                <w:tblCellMar>
                  <w:top w:w="0" w:type="dxa"/>
                  <w:left w:w="108" w:type="dxa"/>
                  <w:bottom w:w="0" w:type="dxa"/>
                  <w:right w:w="108" w:type="dxa"/>
                </w:tblCellMar>
              </w:tblPrEx>
              <w:trPr>
                <w:trHeight w:val="450" w:hRule="atLeast"/>
              </w:trPr>
              <w:tc>
                <w:tcPr>
                  <w:tcW w:w="9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功能科目编码（类款项）</w:t>
                  </w:r>
                </w:p>
              </w:tc>
              <w:tc>
                <w:tcPr>
                  <w:tcW w:w="22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功能科目名称</w:t>
                  </w:r>
                </w:p>
              </w:tc>
              <w:tc>
                <w:tcPr>
                  <w:tcW w:w="7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总计</w:t>
                  </w:r>
                </w:p>
              </w:tc>
              <w:tc>
                <w:tcPr>
                  <w:tcW w:w="249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　</w:t>
                  </w:r>
                </w:p>
              </w:tc>
              <w:tc>
                <w:tcPr>
                  <w:tcW w:w="391" w:type="dxa"/>
                  <w:vMerge w:val="restart"/>
                  <w:tcBorders>
                    <w:top w:val="single" w:color="auto" w:sz="4" w:space="0"/>
                    <w:left w:val="single" w:color="auto" w:sz="4" w:space="0"/>
                    <w:bottom w:val="single" w:color="auto" w:sz="4" w:space="0"/>
                    <w:right w:val="single" w:color="auto" w:sz="4" w:space="0"/>
                  </w:tcBorders>
                  <w:shd w:val="clear" w:color="000000" w:fill="FFFFFF"/>
                  <w:vAlign w:val="bottom"/>
                </w:tcPr>
                <w:p>
                  <w:pPr>
                    <w:widowControl/>
                    <w:jc w:val="center"/>
                    <w:rPr>
                      <w:rFonts w:ascii="宋体" w:cs="Times New Roman"/>
                      <w:b/>
                      <w:bCs/>
                      <w:kern w:val="0"/>
                      <w:sz w:val="12"/>
                      <w:szCs w:val="12"/>
                    </w:rPr>
                  </w:pPr>
                  <w:r>
                    <w:rPr>
                      <w:rFonts w:hint="eastAsia" w:ascii="宋体" w:hAnsi="宋体" w:cs="宋体"/>
                      <w:b/>
                      <w:bCs/>
                      <w:kern w:val="0"/>
                      <w:sz w:val="12"/>
                      <w:szCs w:val="12"/>
                    </w:rPr>
                    <w:t>未纳入预算管理的专户及批准留用的资金</w:t>
                  </w:r>
                </w:p>
              </w:tc>
              <w:tc>
                <w:tcPr>
                  <w:tcW w:w="4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事业收入（不含预算外）</w:t>
                  </w:r>
                </w:p>
              </w:tc>
              <w:tc>
                <w:tcPr>
                  <w:tcW w:w="3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事业单位经营收入</w:t>
                  </w:r>
                </w:p>
              </w:tc>
              <w:tc>
                <w:tcPr>
                  <w:tcW w:w="5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其他收入</w:t>
                  </w:r>
                </w:p>
              </w:tc>
              <w:tc>
                <w:tcPr>
                  <w:tcW w:w="3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上级补助收入</w:t>
                  </w:r>
                </w:p>
              </w:tc>
              <w:tc>
                <w:tcPr>
                  <w:tcW w:w="3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附属单位上缴收入</w:t>
                  </w:r>
                </w:p>
              </w:tc>
              <w:tc>
                <w:tcPr>
                  <w:tcW w:w="3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用事业基金弥补收支差额</w:t>
                  </w:r>
                </w:p>
              </w:tc>
              <w:tc>
                <w:tcPr>
                  <w:tcW w:w="3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上年结转</w:t>
                  </w:r>
                </w:p>
              </w:tc>
              <w:tc>
                <w:tcPr>
                  <w:tcW w:w="95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12"/>
                      <w:szCs w:val="12"/>
                    </w:rPr>
                  </w:pPr>
                </w:p>
              </w:tc>
            </w:tr>
            <w:tr>
              <w:tblPrEx>
                <w:tblCellMar>
                  <w:top w:w="0" w:type="dxa"/>
                  <w:left w:w="108" w:type="dxa"/>
                  <w:bottom w:w="0" w:type="dxa"/>
                  <w:right w:w="108" w:type="dxa"/>
                </w:tblCellMar>
              </w:tblPrEx>
              <w:trPr>
                <w:trHeight w:val="2160" w:hRule="atLeast"/>
              </w:trPr>
              <w:tc>
                <w:tcPr>
                  <w:tcW w:w="9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小计</w:t>
                  </w:r>
                </w:p>
              </w:tc>
              <w:tc>
                <w:tcPr>
                  <w:tcW w:w="77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一般公共预算财政拨款</w:t>
                  </w:r>
                </w:p>
              </w:tc>
              <w:tc>
                <w:tcPr>
                  <w:tcW w:w="4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政府性基金预算财政拨款</w:t>
                  </w:r>
                </w:p>
              </w:tc>
              <w:tc>
                <w:tcPr>
                  <w:tcW w:w="5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纳入预算管理的行政性收费安排的拨款</w:t>
                  </w:r>
                </w:p>
              </w:tc>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kern w:val="0"/>
                      <w:sz w:val="12"/>
                      <w:szCs w:val="12"/>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95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r>
                    <w:rPr>
                      <w:rFonts w:ascii="宋体" w:hAnsi="宋体" w:cs="宋体"/>
                      <w:kern w:val="0"/>
                      <w:sz w:val="18"/>
                      <w:szCs w:val="18"/>
                    </w:rPr>
                    <w:t>201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r>
                    <w:rPr>
                      <w:rFonts w:hint="eastAsia" w:ascii="宋体" w:hAnsi="宋体" w:cs="宋体"/>
                      <w:kern w:val="0"/>
                      <w:sz w:val="18"/>
                      <w:szCs w:val="18"/>
                    </w:rPr>
                    <w:t>一般公共服务支出</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r>
                    <w:rPr>
                      <w:rFonts w:hint="eastAsia" w:ascii="宋体" w:hAnsi="宋体" w:cs="宋体"/>
                      <w:color w:val="0000FF"/>
                      <w:kern w:val="0"/>
                      <w:sz w:val="18"/>
                      <w:szCs w:val="18"/>
                    </w:rPr>
                    <w:t>　</w:t>
                  </w: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r>
                    <w:rPr>
                      <w:rFonts w:ascii="宋体" w:hAnsi="宋体" w:cs="宋体"/>
                      <w:kern w:val="0"/>
                      <w:sz w:val="18"/>
                      <w:szCs w:val="18"/>
                    </w:rPr>
                    <w:t>201</w:t>
                  </w:r>
                  <w:r>
                    <w:rPr>
                      <w:rFonts w:hint="eastAsia" w:ascii="宋体" w:hAnsi="宋体" w:cs="宋体"/>
                      <w:kern w:val="0"/>
                      <w:sz w:val="18"/>
                      <w:szCs w:val="18"/>
                    </w:rPr>
                    <w:t>34</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r>
                    <w:rPr>
                      <w:rFonts w:hint="eastAsia" w:ascii="宋体" w:hAnsi="宋体" w:cs="宋体"/>
                      <w:kern w:val="0"/>
                      <w:sz w:val="18"/>
                      <w:szCs w:val="18"/>
                    </w:rPr>
                    <w:t>统战事务</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r>
                    <w:rPr>
                      <w:rFonts w:hint="eastAsia" w:ascii="宋体" w:hAnsi="宋体" w:cs="宋体"/>
                      <w:color w:val="0000FF"/>
                      <w:kern w:val="0"/>
                      <w:sz w:val="18"/>
                      <w:szCs w:val="18"/>
                    </w:rPr>
                    <w:t>　</w:t>
                  </w: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r>
                    <w:rPr>
                      <w:rFonts w:hint="eastAsia" w:ascii="宋体" w:hAnsi="宋体" w:cs="宋体"/>
                      <w:kern w:val="0"/>
                      <w:sz w:val="18"/>
                      <w:szCs w:val="18"/>
                    </w:rPr>
                    <w:t>2013401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r>
                    <w:rPr>
                      <w:rFonts w:hint="eastAsia" w:ascii="宋体" w:hAnsi="宋体" w:cs="宋体"/>
                      <w:kern w:val="0"/>
                      <w:sz w:val="18"/>
                      <w:szCs w:val="18"/>
                    </w:rPr>
                    <w:t>　　行政运行</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186.55</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186.55</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186.55</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r>
                    <w:rPr>
                      <w:rFonts w:hint="eastAsia" w:ascii="宋体" w:hAnsi="宋体" w:cs="宋体"/>
                      <w:color w:val="0000FF"/>
                      <w:kern w:val="0"/>
                      <w:sz w:val="18"/>
                      <w:szCs w:val="18"/>
                    </w:rPr>
                    <w:t>　</w:t>
                  </w: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317"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val="en-US" w:eastAsia="zh-CN"/>
                    </w:rPr>
                    <w:t>2013401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工资统发</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147.63</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147.63</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147.63</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val="en-US" w:eastAsia="zh-CN"/>
                    </w:rPr>
                    <w:t>2101101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医疗保险单位承担部分</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9.8</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9.8</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9.8</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val="en-US" w:eastAsia="zh-CN"/>
                    </w:rPr>
                    <w:t>2080505</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养老保险单位承担部分</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13</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13</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13</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val="en-US" w:eastAsia="zh-CN"/>
                    </w:rPr>
                    <w:t>2013401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失业保险单位承担部分</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0.25</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eastAsia" w:ascii="宋体" w:hAnsi="Calibri" w:eastAsia="宋体" w:cs="Times New Roman"/>
                      <w:kern w:val="0"/>
                      <w:sz w:val="18"/>
                      <w:szCs w:val="18"/>
                      <w:lang w:val="en-US" w:eastAsia="zh-CN" w:bidi="ar-SA"/>
                    </w:rPr>
                  </w:pPr>
                  <w:r>
                    <w:rPr>
                      <w:rFonts w:hint="eastAsia" w:ascii="宋体" w:cs="Times New Roman"/>
                      <w:kern w:val="0"/>
                      <w:sz w:val="18"/>
                      <w:szCs w:val="18"/>
                      <w:lang w:val="en-US" w:eastAsia="zh-CN"/>
                    </w:rPr>
                    <w:t>0.25</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eastAsia" w:ascii="宋体" w:hAnsi="Calibri" w:eastAsia="宋体" w:cs="Times New Roman"/>
                      <w:kern w:val="0"/>
                      <w:sz w:val="18"/>
                      <w:szCs w:val="18"/>
                      <w:lang w:val="en-US" w:eastAsia="zh-CN" w:bidi="ar-SA"/>
                    </w:rPr>
                  </w:pPr>
                  <w:r>
                    <w:rPr>
                      <w:rFonts w:hint="eastAsia" w:ascii="宋体" w:cs="Times New Roman"/>
                      <w:kern w:val="0"/>
                      <w:sz w:val="18"/>
                      <w:szCs w:val="18"/>
                      <w:lang w:val="en-US" w:eastAsia="zh-CN"/>
                    </w:rPr>
                    <w:t>0.25</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val="en-US" w:eastAsia="zh-CN"/>
                    </w:rPr>
                    <w:t>2013401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工伤保险单位承担部分</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0.25</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eastAsia" w:ascii="宋体" w:hAnsi="Calibri" w:eastAsia="宋体" w:cs="Times New Roman"/>
                      <w:kern w:val="0"/>
                      <w:sz w:val="18"/>
                      <w:szCs w:val="18"/>
                      <w:lang w:val="en-US" w:eastAsia="zh-CN" w:bidi="ar-SA"/>
                    </w:rPr>
                  </w:pPr>
                  <w:r>
                    <w:rPr>
                      <w:rFonts w:hint="eastAsia" w:ascii="宋体" w:cs="Times New Roman"/>
                      <w:kern w:val="0"/>
                      <w:sz w:val="18"/>
                      <w:szCs w:val="18"/>
                      <w:lang w:val="en-US" w:eastAsia="zh-CN"/>
                    </w:rPr>
                    <w:t>0.25</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eastAsia" w:ascii="宋体" w:hAnsi="Calibri" w:eastAsia="宋体" w:cs="Times New Roman"/>
                      <w:kern w:val="0"/>
                      <w:sz w:val="18"/>
                      <w:szCs w:val="18"/>
                      <w:lang w:val="en-US" w:eastAsia="zh-CN" w:bidi="ar-SA"/>
                    </w:rPr>
                  </w:pPr>
                  <w:r>
                    <w:rPr>
                      <w:rFonts w:hint="eastAsia" w:ascii="宋体" w:cs="Times New Roman"/>
                      <w:kern w:val="0"/>
                      <w:sz w:val="18"/>
                      <w:szCs w:val="18"/>
                      <w:lang w:val="en-US" w:eastAsia="zh-CN"/>
                    </w:rPr>
                    <w:t>0.25</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val="en-US" w:eastAsia="zh-CN"/>
                    </w:rPr>
                    <w:t>2013401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交通补贴</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10.37</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10.37</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10.37</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val="en-US" w:eastAsia="zh-CN"/>
                    </w:rPr>
                    <w:t>2013401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人均经费</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4.59</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4.59</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4.59</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eastAsia="宋体" w:cs="Times New Roman"/>
                      <w:kern w:val="0"/>
                      <w:sz w:val="18"/>
                      <w:szCs w:val="18"/>
                      <w:lang w:val="en-US" w:eastAsia="zh-CN"/>
                    </w:rPr>
                  </w:pPr>
                  <w:r>
                    <w:rPr>
                      <w:rFonts w:hint="eastAsia" w:ascii="宋体" w:hAnsi="宋体" w:cs="宋体"/>
                      <w:kern w:val="0"/>
                      <w:sz w:val="18"/>
                      <w:szCs w:val="18"/>
                    </w:rPr>
                    <w:t>201340</w:t>
                  </w:r>
                  <w:r>
                    <w:rPr>
                      <w:rFonts w:hint="eastAsia" w:ascii="宋体" w:hAnsi="宋体" w:cs="宋体"/>
                      <w:kern w:val="0"/>
                      <w:sz w:val="18"/>
                      <w:szCs w:val="18"/>
                      <w:lang w:val="en-US" w:eastAsia="zh-CN"/>
                    </w:rPr>
                    <w:t>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党组织工作经费</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0.56</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0.56</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0.56</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r>
                    <w:rPr>
                      <w:rFonts w:hint="eastAsia" w:ascii="宋体" w:hAnsi="宋体" w:cs="宋体"/>
                      <w:color w:val="0000FF"/>
                      <w:kern w:val="0"/>
                      <w:sz w:val="18"/>
                      <w:szCs w:val="18"/>
                    </w:rPr>
                    <w:t>　</w:t>
                  </w: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kern w:val="0"/>
                      <w:sz w:val="18"/>
                      <w:szCs w:val="18"/>
                    </w:rPr>
                  </w:pPr>
                  <w:r>
                    <w:rPr>
                      <w:rFonts w:hint="eastAsia" w:ascii="Arial" w:hAnsi="Arial" w:cs="宋体"/>
                      <w:kern w:val="0"/>
                      <w:sz w:val="18"/>
                      <w:szCs w:val="18"/>
                    </w:rPr>
                    <w:t>　</w:t>
                  </w:r>
                  <w:r>
                    <w:rPr>
                      <w:rFonts w:hint="eastAsia" w:ascii="宋体" w:hAnsi="宋体" w:cs="宋体"/>
                      <w:color w:val="000000"/>
                      <w:kern w:val="0"/>
                      <w:sz w:val="20"/>
                      <w:szCs w:val="20"/>
                      <w:lang w:val="en-US" w:eastAsia="zh-CN"/>
                    </w:rPr>
                    <w:t>2013401</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邮电费</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0.1</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0.1</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eastAsia="宋体" w:cs="Times New Roman"/>
                      <w:kern w:val="0"/>
                      <w:sz w:val="18"/>
                      <w:szCs w:val="18"/>
                      <w:lang w:val="en-US" w:eastAsia="zh-CN"/>
                    </w:rPr>
                  </w:pPr>
                  <w:r>
                    <w:rPr>
                      <w:rFonts w:hint="eastAsia" w:ascii="宋体" w:cs="Times New Roman"/>
                      <w:kern w:val="0"/>
                      <w:sz w:val="18"/>
                      <w:szCs w:val="18"/>
                      <w:lang w:val="en-US" w:eastAsia="zh-CN"/>
                    </w:rPr>
                    <w:t>0.1</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r>
                    <w:rPr>
                      <w:rFonts w:hint="eastAsia" w:ascii="宋体" w:hAnsi="宋体" w:cs="宋体"/>
                      <w:color w:val="0000FF"/>
                      <w:kern w:val="0"/>
                      <w:sz w:val="18"/>
                      <w:szCs w:val="18"/>
                    </w:rPr>
                    <w:t>　</w:t>
                  </w: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Arial" w:hAnsi="Arial" w:eastAsia="宋体" w:cs="宋体"/>
                      <w:kern w:val="0"/>
                      <w:sz w:val="18"/>
                      <w:szCs w:val="18"/>
                      <w:lang w:val="en-US" w:eastAsia="zh-CN"/>
                    </w:rPr>
                  </w:pPr>
                  <w:r>
                    <w:rPr>
                      <w:rFonts w:hint="eastAsia" w:ascii="Arial" w:hAnsi="Arial" w:cs="宋体"/>
                      <w:kern w:val="0"/>
                      <w:sz w:val="18"/>
                      <w:szCs w:val="18"/>
                      <w:lang w:val="en-US" w:eastAsia="zh-CN"/>
                    </w:rPr>
                    <w:t>2013402</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Calibri" w:eastAsia="宋体" w:cs="Times New Roman"/>
                      <w:kern w:val="0"/>
                      <w:sz w:val="18"/>
                      <w:szCs w:val="18"/>
                      <w:lang w:val="en-US" w:eastAsia="zh-CN" w:bidi="ar-SA"/>
                    </w:rPr>
                  </w:pPr>
                  <w:r>
                    <w:rPr>
                      <w:rFonts w:hint="eastAsia" w:ascii="宋体" w:hAnsi="宋体" w:cs="宋体"/>
                      <w:kern w:val="0"/>
                      <w:sz w:val="18"/>
                      <w:szCs w:val="18"/>
                    </w:rPr>
                    <w:t>一般行政管理事务</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73.07</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73.07</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73.07</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Arial" w:hAnsi="Arial" w:eastAsia="宋体" w:cs="宋体"/>
                      <w:kern w:val="0"/>
                      <w:sz w:val="18"/>
                      <w:szCs w:val="18"/>
                      <w:lang w:val="en-US" w:eastAsia="zh-CN"/>
                    </w:rPr>
                  </w:pPr>
                  <w:r>
                    <w:rPr>
                      <w:rFonts w:hint="eastAsia" w:ascii="Arial" w:hAnsi="Arial" w:cs="宋体"/>
                      <w:kern w:val="0"/>
                      <w:sz w:val="18"/>
                      <w:szCs w:val="18"/>
                      <w:lang w:val="en-US" w:eastAsia="zh-CN"/>
                    </w:rPr>
                    <w:t>2013402</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eastAsia="zh-CN"/>
                    </w:rPr>
                    <w:t>具有清真饮食习惯的少数民族肉食补贴区级配套</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28.87</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28.87</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28.87</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Arial" w:hAnsi="Arial" w:eastAsia="宋体" w:cs="宋体"/>
                      <w:kern w:val="0"/>
                      <w:sz w:val="18"/>
                      <w:szCs w:val="18"/>
                      <w:lang w:val="en-US" w:eastAsia="zh-CN"/>
                    </w:rPr>
                  </w:pPr>
                  <w:r>
                    <w:rPr>
                      <w:rFonts w:hint="eastAsia" w:ascii="Arial" w:hAnsi="Arial" w:cs="宋体"/>
                      <w:kern w:val="0"/>
                      <w:sz w:val="18"/>
                      <w:szCs w:val="18"/>
                      <w:lang w:val="en-US" w:eastAsia="zh-CN"/>
                    </w:rPr>
                    <w:t>2013402</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党派经费</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38</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38</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38</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Arial" w:hAnsi="Arial" w:cs="宋体"/>
                      <w:kern w:val="0"/>
                      <w:sz w:val="18"/>
                      <w:szCs w:val="18"/>
                      <w:lang w:val="en-US"/>
                    </w:rPr>
                  </w:pPr>
                  <w:r>
                    <w:rPr>
                      <w:rFonts w:hint="eastAsia" w:ascii="宋体" w:hAnsi="宋体" w:cs="宋体"/>
                      <w:color w:val="000000"/>
                      <w:kern w:val="0"/>
                      <w:sz w:val="20"/>
                      <w:szCs w:val="20"/>
                      <w:lang w:val="en-US" w:eastAsia="zh-CN"/>
                    </w:rPr>
                    <w:t>2013402</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民族宗教工作经费</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5</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5</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5</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r>
              <w:tblPrEx>
                <w:tblCellMar>
                  <w:top w:w="0" w:type="dxa"/>
                  <w:left w:w="108" w:type="dxa"/>
                  <w:bottom w:w="0" w:type="dxa"/>
                  <w:right w:w="108" w:type="dxa"/>
                </w:tblCellMar>
              </w:tblPrEx>
              <w:trPr>
                <w:trHeight w:val="225" w:hRule="atLeast"/>
              </w:trPr>
              <w:tc>
                <w:tcPr>
                  <w:tcW w:w="923"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Arial" w:hAnsi="Arial" w:eastAsia="宋体" w:cs="宋体"/>
                      <w:kern w:val="0"/>
                      <w:sz w:val="18"/>
                      <w:szCs w:val="18"/>
                      <w:lang w:val="en-US" w:eastAsia="zh-CN"/>
                    </w:rPr>
                  </w:pPr>
                  <w:r>
                    <w:rPr>
                      <w:rFonts w:hint="eastAsia" w:ascii="Arial" w:hAnsi="Arial" w:cs="宋体"/>
                      <w:kern w:val="0"/>
                      <w:sz w:val="18"/>
                      <w:szCs w:val="18"/>
                      <w:lang w:val="en-US" w:eastAsia="zh-CN"/>
                    </w:rPr>
                    <w:t>2013402</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职工体检费</w:t>
                  </w:r>
                </w:p>
              </w:tc>
              <w:tc>
                <w:tcPr>
                  <w:tcW w:w="780"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1.2</w:t>
                  </w:r>
                </w:p>
              </w:tc>
              <w:tc>
                <w:tcPr>
                  <w:tcW w:w="767"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1.2</w:t>
                  </w:r>
                </w:p>
              </w:tc>
              <w:tc>
                <w:tcPr>
                  <w:tcW w:w="778" w:type="dxa"/>
                  <w:tcBorders>
                    <w:top w:val="single" w:color="auto" w:sz="4" w:space="0"/>
                    <w:left w:val="single" w:color="auto" w:sz="4" w:space="0"/>
                    <w:bottom w:val="single" w:color="auto" w:sz="4" w:space="0"/>
                    <w:right w:val="single" w:color="auto" w:sz="4" w:space="0"/>
                  </w:tcBorders>
                  <w:vAlign w:val="bottom"/>
                </w:tcPr>
                <w:p>
                  <w:pPr>
                    <w:widowControl/>
                    <w:jc w:val="right"/>
                    <w:rPr>
                      <w:rFonts w:hint="default" w:ascii="宋体" w:cs="Times New Roman"/>
                      <w:kern w:val="0"/>
                      <w:sz w:val="18"/>
                      <w:szCs w:val="18"/>
                      <w:lang w:val="en-US" w:eastAsia="zh-CN"/>
                    </w:rPr>
                  </w:pPr>
                  <w:r>
                    <w:rPr>
                      <w:rFonts w:hint="eastAsia" w:ascii="宋体" w:cs="Times New Roman"/>
                      <w:kern w:val="0"/>
                      <w:sz w:val="18"/>
                      <w:szCs w:val="18"/>
                      <w:lang w:val="en-US" w:eastAsia="zh-CN"/>
                    </w:rPr>
                    <w:t>1.2</w:t>
                  </w:r>
                </w:p>
              </w:tc>
              <w:tc>
                <w:tcPr>
                  <w:tcW w:w="434"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kern w:val="0"/>
                      <w:sz w:val="18"/>
                      <w:szCs w:val="18"/>
                    </w:rPr>
                  </w:pPr>
                </w:p>
              </w:tc>
              <w:tc>
                <w:tcPr>
                  <w:tcW w:w="39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45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FF"/>
                      <w:kern w:val="0"/>
                      <w:sz w:val="18"/>
                      <w:szCs w:val="18"/>
                    </w:rPr>
                  </w:pPr>
                </w:p>
              </w:tc>
              <w:tc>
                <w:tcPr>
                  <w:tcW w:w="337"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c>
                <w:tcPr>
                  <w:tcW w:w="951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FF"/>
                      <w:kern w:val="0"/>
                      <w:sz w:val="18"/>
                      <w:szCs w:val="18"/>
                    </w:rPr>
                  </w:pPr>
                </w:p>
              </w:tc>
            </w:tr>
          </w:tbl>
          <w:p>
            <w:pPr>
              <w:widowControl/>
              <w:jc w:val="center"/>
              <w:rPr>
                <w:rFonts w:hint="eastAsia" w:ascii="宋体" w:hAnsi="宋体" w:cs="宋体"/>
                <w:b/>
                <w:bCs/>
                <w:color w:val="000000"/>
                <w:kern w:val="0"/>
                <w:sz w:val="40"/>
                <w:szCs w:val="40"/>
              </w:rPr>
            </w:pPr>
            <w:r>
              <w:rPr>
                <w:rFonts w:hint="eastAsia" w:ascii="宋体" w:hAnsi="宋体" w:cs="宋体"/>
                <w:color w:val="3E3E3E"/>
                <w:kern w:val="0"/>
                <w:sz w:val="32"/>
                <w:szCs w:val="32"/>
              </w:rPr>
              <w:t>　</w:t>
            </w:r>
          </w:p>
          <w:p>
            <w:pPr>
              <w:widowControl/>
              <w:jc w:val="center"/>
              <w:rPr>
                <w:rFonts w:ascii="宋体" w:cs="Times New Roman"/>
                <w:b/>
                <w:bCs/>
                <w:color w:val="000000"/>
                <w:kern w:val="0"/>
                <w:sz w:val="40"/>
                <w:szCs w:val="40"/>
              </w:rPr>
            </w:pPr>
          </w:p>
        </w:tc>
      </w:tr>
    </w:tbl>
    <w:p>
      <w:pPr>
        <w:spacing w:line="360" w:lineRule="auto"/>
        <w:jc w:val="left"/>
        <w:rPr>
          <w:rFonts w:ascii="宋体" w:cs="Times New Roman"/>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tbl>
      <w:tblPr>
        <w:tblStyle w:val="5"/>
        <w:tblW w:w="8380" w:type="dxa"/>
        <w:tblInd w:w="-106" w:type="dxa"/>
        <w:tblLayout w:type="fixed"/>
        <w:tblCellMar>
          <w:top w:w="0" w:type="dxa"/>
          <w:left w:w="108" w:type="dxa"/>
          <w:bottom w:w="0" w:type="dxa"/>
          <w:right w:w="108" w:type="dxa"/>
        </w:tblCellMar>
      </w:tblPr>
      <w:tblGrid>
        <w:gridCol w:w="1042"/>
        <w:gridCol w:w="2295"/>
        <w:gridCol w:w="765"/>
        <w:gridCol w:w="930"/>
        <w:gridCol w:w="810"/>
        <w:gridCol w:w="778"/>
        <w:gridCol w:w="880"/>
        <w:gridCol w:w="880"/>
      </w:tblGrid>
      <w:tr>
        <w:tblPrEx>
          <w:tblCellMar>
            <w:top w:w="0" w:type="dxa"/>
            <w:left w:w="108" w:type="dxa"/>
            <w:bottom w:w="0" w:type="dxa"/>
            <w:right w:w="108" w:type="dxa"/>
          </w:tblCellMar>
        </w:tblPrEx>
        <w:trPr>
          <w:trHeight w:val="255" w:hRule="atLeast"/>
        </w:trPr>
        <w:tc>
          <w:tcPr>
            <w:tcW w:w="3337" w:type="dxa"/>
            <w:gridSpan w:val="2"/>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8</w:t>
            </w:r>
          </w:p>
        </w:tc>
        <w:tc>
          <w:tcPr>
            <w:tcW w:w="765" w:type="dxa"/>
            <w:tcBorders>
              <w:top w:val="nil"/>
              <w:left w:val="nil"/>
              <w:bottom w:val="nil"/>
              <w:right w:val="nil"/>
            </w:tcBorders>
            <w:vAlign w:val="bottom"/>
          </w:tcPr>
          <w:p>
            <w:pPr>
              <w:widowControl/>
              <w:jc w:val="left"/>
              <w:rPr>
                <w:rFonts w:ascii="宋体" w:cs="Times New Roman"/>
                <w:kern w:val="0"/>
                <w:sz w:val="20"/>
                <w:szCs w:val="20"/>
              </w:rPr>
            </w:pPr>
          </w:p>
        </w:tc>
        <w:tc>
          <w:tcPr>
            <w:tcW w:w="930" w:type="dxa"/>
            <w:tcBorders>
              <w:top w:val="nil"/>
              <w:left w:val="nil"/>
              <w:bottom w:val="nil"/>
              <w:right w:val="nil"/>
            </w:tcBorders>
            <w:vAlign w:val="bottom"/>
          </w:tcPr>
          <w:p>
            <w:pPr>
              <w:widowControl/>
              <w:jc w:val="left"/>
              <w:rPr>
                <w:rFonts w:ascii="宋体" w:cs="Times New Roman"/>
                <w:kern w:val="0"/>
                <w:sz w:val="20"/>
                <w:szCs w:val="20"/>
              </w:rPr>
            </w:pPr>
          </w:p>
        </w:tc>
        <w:tc>
          <w:tcPr>
            <w:tcW w:w="810" w:type="dxa"/>
            <w:tcBorders>
              <w:top w:val="nil"/>
              <w:left w:val="nil"/>
              <w:bottom w:val="nil"/>
              <w:right w:val="nil"/>
            </w:tcBorders>
            <w:vAlign w:val="bottom"/>
          </w:tcPr>
          <w:p>
            <w:pPr>
              <w:widowControl/>
              <w:jc w:val="left"/>
              <w:rPr>
                <w:rFonts w:ascii="宋体" w:cs="Times New Roman"/>
                <w:kern w:val="0"/>
                <w:sz w:val="20"/>
                <w:szCs w:val="20"/>
              </w:rPr>
            </w:pPr>
          </w:p>
        </w:tc>
        <w:tc>
          <w:tcPr>
            <w:tcW w:w="778"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380" w:type="dxa"/>
            <w:gridSpan w:val="8"/>
            <w:tcBorders>
              <w:top w:val="nil"/>
              <w:left w:val="nil"/>
              <w:bottom w:val="nil"/>
              <w:right w:val="nil"/>
            </w:tcBorders>
            <w:vAlign w:val="bottom"/>
          </w:tcPr>
          <w:p>
            <w:pPr>
              <w:widowControl/>
              <w:jc w:val="center"/>
              <w:rPr>
                <w:rFonts w:hint="eastAsia" w:ascii="宋体" w:hAnsi="宋体" w:cs="宋体"/>
                <w:b/>
                <w:bCs/>
                <w:color w:val="000000"/>
                <w:kern w:val="0"/>
                <w:sz w:val="40"/>
                <w:szCs w:val="40"/>
              </w:rPr>
            </w:pPr>
          </w:p>
          <w:p>
            <w:pPr>
              <w:widowControl/>
              <w:jc w:val="center"/>
              <w:rPr>
                <w:rFonts w:ascii="宋体" w:cs="Times New Roman"/>
                <w:b/>
                <w:bCs/>
                <w:color w:val="000000"/>
                <w:kern w:val="0"/>
                <w:sz w:val="40"/>
                <w:szCs w:val="40"/>
              </w:rPr>
            </w:pPr>
            <w:r>
              <w:rPr>
                <w:rFonts w:hint="eastAsia" w:ascii="宋体" w:hAnsi="宋体" w:cs="宋体"/>
                <w:b/>
                <w:bCs/>
                <w:color w:val="000000"/>
                <w:kern w:val="0"/>
                <w:sz w:val="40"/>
                <w:szCs w:val="40"/>
              </w:rPr>
              <w:t>部门支出总表</w:t>
            </w:r>
          </w:p>
        </w:tc>
      </w:tr>
      <w:tr>
        <w:tblPrEx>
          <w:tblCellMar>
            <w:top w:w="0" w:type="dxa"/>
            <w:left w:w="108" w:type="dxa"/>
            <w:bottom w:w="0" w:type="dxa"/>
            <w:right w:w="108" w:type="dxa"/>
          </w:tblCellMar>
        </w:tblPrEx>
        <w:trPr>
          <w:trHeight w:val="225" w:hRule="atLeast"/>
        </w:trPr>
        <w:tc>
          <w:tcPr>
            <w:tcW w:w="3337" w:type="dxa"/>
            <w:gridSpan w:val="2"/>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部门（单位）名称：</w:t>
            </w:r>
            <w:r>
              <w:rPr>
                <w:rFonts w:hint="eastAsia" w:ascii="宋体" w:hAnsi="宋体" w:cs="宋体"/>
                <w:kern w:val="0"/>
                <w:sz w:val="20"/>
                <w:szCs w:val="20"/>
              </w:rPr>
              <w:t>中共长春市二道区委统战部</w:t>
            </w:r>
          </w:p>
        </w:tc>
        <w:tc>
          <w:tcPr>
            <w:tcW w:w="765"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93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1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778"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108" w:type="dxa"/>
            <w:bottom w:w="0" w:type="dxa"/>
            <w:right w:w="108" w:type="dxa"/>
          </w:tblCellMar>
        </w:tblPrEx>
        <w:trPr>
          <w:trHeight w:val="312" w:hRule="atLeast"/>
        </w:trPr>
        <w:tc>
          <w:tcPr>
            <w:tcW w:w="1042"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功能科目编码（类款项）</w:t>
            </w:r>
          </w:p>
        </w:tc>
        <w:tc>
          <w:tcPr>
            <w:tcW w:w="229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w:t>
            </w:r>
            <w:r>
              <w:rPr>
                <w:rFonts w:ascii="宋体" w:hAnsi="宋体" w:cs="宋体"/>
                <w:b/>
                <w:bCs/>
                <w:color w:val="000000"/>
                <w:kern w:val="0"/>
                <w:sz w:val="16"/>
                <w:szCs w:val="16"/>
              </w:rPr>
              <w:t>/</w:t>
            </w:r>
            <w:r>
              <w:rPr>
                <w:rFonts w:hint="eastAsia" w:ascii="宋体" w:hAnsi="宋体" w:cs="宋体"/>
                <w:b/>
                <w:bCs/>
                <w:color w:val="000000"/>
                <w:kern w:val="0"/>
                <w:sz w:val="16"/>
                <w:szCs w:val="16"/>
              </w:rPr>
              <w:t>科目名称</w:t>
            </w:r>
          </w:p>
        </w:tc>
        <w:tc>
          <w:tcPr>
            <w:tcW w:w="76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总计</w:t>
            </w:r>
          </w:p>
        </w:tc>
        <w:tc>
          <w:tcPr>
            <w:tcW w:w="93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基本支出</w:t>
            </w:r>
          </w:p>
        </w:tc>
        <w:tc>
          <w:tcPr>
            <w:tcW w:w="81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项目支出</w:t>
            </w:r>
          </w:p>
        </w:tc>
        <w:tc>
          <w:tcPr>
            <w:tcW w:w="77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上缴上级支出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事业单位经营支出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对下级补助支出</w:t>
            </w:r>
          </w:p>
        </w:tc>
      </w:tr>
      <w:tr>
        <w:tblPrEx>
          <w:tblCellMar>
            <w:top w:w="0" w:type="dxa"/>
            <w:left w:w="108" w:type="dxa"/>
            <w:bottom w:w="0" w:type="dxa"/>
            <w:right w:w="108" w:type="dxa"/>
          </w:tblCellMar>
        </w:tblPrEx>
        <w:trPr>
          <w:trHeight w:val="312" w:hRule="atLeast"/>
        </w:trPr>
        <w:tc>
          <w:tcPr>
            <w:tcW w:w="1042"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6"/>
                <w:szCs w:val="16"/>
              </w:rPr>
            </w:pPr>
          </w:p>
        </w:tc>
        <w:tc>
          <w:tcPr>
            <w:tcW w:w="22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9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color w:val="000000"/>
                <w:kern w:val="0"/>
                <w:sz w:val="16"/>
                <w:szCs w:val="16"/>
              </w:rPr>
            </w:pPr>
          </w:p>
        </w:tc>
        <w:tc>
          <w:tcPr>
            <w:tcW w:w="8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color w:val="000000"/>
                <w:kern w:val="0"/>
                <w:sz w:val="16"/>
                <w:szCs w:val="16"/>
              </w:rPr>
            </w:pPr>
          </w:p>
        </w:tc>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kern w:val="0"/>
                <w:sz w:val="18"/>
                <w:szCs w:val="18"/>
              </w:rPr>
              <w:t>201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kern w:val="0"/>
                <w:sz w:val="18"/>
                <w:szCs w:val="18"/>
              </w:rPr>
              <w:t>一般公共服务支出</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93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1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kern w:val="0"/>
                <w:sz w:val="18"/>
                <w:szCs w:val="18"/>
              </w:rPr>
              <w:t>201</w:t>
            </w:r>
            <w:r>
              <w:rPr>
                <w:rFonts w:hint="eastAsia" w:ascii="宋体" w:hAnsi="宋体" w:cs="宋体"/>
                <w:kern w:val="0"/>
                <w:sz w:val="18"/>
                <w:szCs w:val="18"/>
              </w:rPr>
              <w:t>34</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kern w:val="0"/>
                <w:sz w:val="18"/>
                <w:szCs w:val="18"/>
              </w:rPr>
              <w:t>统战事务</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93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1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kern w:val="0"/>
                <w:sz w:val="18"/>
                <w:szCs w:val="18"/>
              </w:rPr>
              <w:t>2013401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kern w:val="0"/>
                <w:sz w:val="18"/>
                <w:szCs w:val="18"/>
              </w:rPr>
              <w:t>　　行政运行</w:t>
            </w:r>
          </w:p>
        </w:tc>
        <w:tc>
          <w:tcPr>
            <w:tcW w:w="76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auto"/>
                <w:kern w:val="0"/>
                <w:sz w:val="16"/>
                <w:szCs w:val="16"/>
                <w:lang w:val="en-US" w:eastAsia="zh-CN"/>
              </w:rPr>
            </w:pPr>
          </w:p>
        </w:tc>
        <w:tc>
          <w:tcPr>
            <w:tcW w:w="93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auto"/>
                <w:kern w:val="0"/>
                <w:sz w:val="16"/>
                <w:szCs w:val="16"/>
                <w:lang w:val="en-US" w:eastAsia="zh-CN"/>
              </w:rPr>
            </w:pPr>
          </w:p>
        </w:tc>
        <w:tc>
          <w:tcPr>
            <w:tcW w:w="81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hint="eastAsia" w:ascii="宋体" w:hAnsi="宋体" w:cs="宋体"/>
                <w:color w:val="000000"/>
                <w:kern w:val="0"/>
                <w:sz w:val="20"/>
                <w:szCs w:val="20"/>
                <w:lang w:val="en-US" w:eastAsia="zh-CN"/>
              </w:rPr>
              <w:t>2013401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eastAsia="zh-CN"/>
              </w:rPr>
              <w:t>工资统发</w:t>
            </w:r>
          </w:p>
        </w:tc>
        <w:tc>
          <w:tcPr>
            <w:tcW w:w="76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auto"/>
                <w:kern w:val="0"/>
                <w:sz w:val="16"/>
                <w:szCs w:val="16"/>
                <w:lang w:val="en-US" w:eastAsia="zh-CN"/>
              </w:rPr>
            </w:pPr>
            <w:r>
              <w:rPr>
                <w:rFonts w:hint="eastAsia" w:ascii="宋体" w:cs="Times New Roman"/>
                <w:color w:val="auto"/>
                <w:kern w:val="0"/>
                <w:sz w:val="18"/>
                <w:szCs w:val="18"/>
                <w:lang w:val="en-US" w:eastAsia="zh-CN"/>
              </w:rPr>
              <w:t>147.63</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147.63</w:t>
            </w:r>
          </w:p>
        </w:tc>
        <w:tc>
          <w:tcPr>
            <w:tcW w:w="81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val="en-US" w:eastAsia="zh-CN"/>
              </w:rPr>
              <w:t>2101101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eastAsia="zh-CN"/>
              </w:rPr>
              <w:t>医疗保险单位承担部分</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cs="Times New Roman"/>
                <w:color w:val="auto"/>
                <w:kern w:val="0"/>
                <w:sz w:val="18"/>
                <w:szCs w:val="18"/>
                <w:lang w:val="en-US" w:eastAsia="zh-CN"/>
              </w:rPr>
              <w:t>9.8</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9.8</w:t>
            </w:r>
          </w:p>
        </w:tc>
        <w:tc>
          <w:tcPr>
            <w:tcW w:w="810"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val="en-US" w:eastAsia="zh-CN"/>
              </w:rPr>
              <w:t>2080505</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eastAsia="zh-CN"/>
              </w:rPr>
              <w:t>养老保险单位承担部分</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cs="Times New Roman"/>
                <w:color w:val="auto"/>
                <w:kern w:val="0"/>
                <w:sz w:val="18"/>
                <w:szCs w:val="18"/>
                <w:lang w:val="en-US" w:eastAsia="zh-CN"/>
              </w:rPr>
              <w:t>13</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13</w:t>
            </w:r>
          </w:p>
        </w:tc>
        <w:tc>
          <w:tcPr>
            <w:tcW w:w="810"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val="en-US" w:eastAsia="zh-CN"/>
              </w:rPr>
              <w:t>2013401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eastAsia="zh-CN"/>
              </w:rPr>
              <w:t>失业保险单位承担部分</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cs="Times New Roman"/>
                <w:color w:val="auto"/>
                <w:kern w:val="0"/>
                <w:sz w:val="18"/>
                <w:szCs w:val="18"/>
                <w:lang w:val="en-US" w:eastAsia="zh-CN"/>
              </w:rPr>
              <w:t>0.25</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0.25</w:t>
            </w:r>
          </w:p>
        </w:tc>
        <w:tc>
          <w:tcPr>
            <w:tcW w:w="810"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val="en-US" w:eastAsia="zh-CN"/>
              </w:rPr>
              <w:t>2013401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eastAsia="zh-CN"/>
              </w:rPr>
              <w:t>工伤保险单位承担部分</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cs="Times New Roman"/>
                <w:color w:val="auto"/>
                <w:kern w:val="0"/>
                <w:sz w:val="18"/>
                <w:szCs w:val="18"/>
                <w:lang w:val="en-US" w:eastAsia="zh-CN"/>
              </w:rPr>
              <w:t>0.25</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0.25</w:t>
            </w:r>
          </w:p>
        </w:tc>
        <w:tc>
          <w:tcPr>
            <w:tcW w:w="810"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val="en-US" w:eastAsia="zh-CN"/>
              </w:rPr>
              <w:t>2013401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2"/>
                <w:szCs w:val="12"/>
              </w:rPr>
            </w:pPr>
            <w:r>
              <w:rPr>
                <w:rFonts w:hint="eastAsia" w:ascii="宋体" w:hAnsi="宋体" w:cs="宋体"/>
                <w:color w:val="000000"/>
                <w:kern w:val="0"/>
                <w:sz w:val="20"/>
                <w:szCs w:val="20"/>
                <w:lang w:eastAsia="zh-CN"/>
              </w:rPr>
              <w:t>交通补贴</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cs="Times New Roman"/>
                <w:color w:val="auto"/>
                <w:kern w:val="0"/>
                <w:sz w:val="18"/>
                <w:szCs w:val="18"/>
                <w:lang w:val="en-US" w:eastAsia="zh-CN"/>
              </w:rPr>
              <w:t>10.37</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10.37</w:t>
            </w:r>
          </w:p>
        </w:tc>
        <w:tc>
          <w:tcPr>
            <w:tcW w:w="810"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360"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val="en-US" w:eastAsia="zh-CN"/>
              </w:rPr>
              <w:t>2013401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2"/>
                <w:szCs w:val="12"/>
              </w:rPr>
            </w:pPr>
            <w:r>
              <w:rPr>
                <w:rFonts w:hint="eastAsia" w:ascii="宋体" w:hAnsi="宋体" w:cs="宋体"/>
                <w:color w:val="000000"/>
                <w:kern w:val="0"/>
                <w:sz w:val="20"/>
                <w:szCs w:val="20"/>
                <w:lang w:eastAsia="zh-CN"/>
              </w:rPr>
              <w:t>人均经费</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cs="Times New Roman"/>
                <w:color w:val="auto"/>
                <w:kern w:val="0"/>
                <w:sz w:val="18"/>
                <w:szCs w:val="18"/>
                <w:lang w:val="en-US" w:eastAsia="zh-CN"/>
              </w:rPr>
              <w:t>4.59</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4.59</w:t>
            </w:r>
          </w:p>
        </w:tc>
        <w:tc>
          <w:tcPr>
            <w:tcW w:w="810"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kern w:val="0"/>
                <w:sz w:val="18"/>
                <w:szCs w:val="18"/>
              </w:rPr>
              <w:t>201340</w:t>
            </w:r>
            <w:r>
              <w:rPr>
                <w:rFonts w:hint="eastAsia" w:ascii="宋体" w:hAnsi="宋体" w:cs="宋体"/>
                <w:kern w:val="0"/>
                <w:sz w:val="18"/>
                <w:szCs w:val="18"/>
                <w:lang w:val="en-US" w:eastAsia="zh-CN"/>
              </w:rPr>
              <w:t>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eastAsia="zh-CN"/>
              </w:rPr>
              <w:t>党组织工作经费</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cs="Times New Roman"/>
                <w:color w:val="auto"/>
                <w:kern w:val="0"/>
                <w:sz w:val="18"/>
                <w:szCs w:val="18"/>
                <w:lang w:val="en-US" w:eastAsia="zh-CN"/>
              </w:rPr>
              <w:t>0.56</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0.56</w:t>
            </w:r>
          </w:p>
        </w:tc>
        <w:tc>
          <w:tcPr>
            <w:tcW w:w="810"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Arial" w:hAnsi="Arial" w:cs="宋体"/>
                <w:kern w:val="0"/>
                <w:sz w:val="18"/>
                <w:szCs w:val="18"/>
              </w:rPr>
              <w:t>　</w:t>
            </w:r>
            <w:r>
              <w:rPr>
                <w:rFonts w:hint="eastAsia" w:ascii="宋体" w:hAnsi="宋体" w:cs="宋体"/>
                <w:color w:val="000000"/>
                <w:kern w:val="0"/>
                <w:sz w:val="20"/>
                <w:szCs w:val="20"/>
                <w:lang w:val="en-US" w:eastAsia="zh-CN"/>
              </w:rPr>
              <w:t>2013401</w:t>
            </w:r>
          </w:p>
        </w:tc>
        <w:tc>
          <w:tcPr>
            <w:tcW w:w="229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20"/>
                <w:szCs w:val="20"/>
                <w:lang w:eastAsia="zh-CN"/>
              </w:rPr>
              <w:t>邮电费</w:t>
            </w:r>
          </w:p>
        </w:tc>
        <w:tc>
          <w:tcPr>
            <w:tcW w:w="765"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r>
              <w:rPr>
                <w:rFonts w:hint="eastAsia" w:ascii="宋体" w:cs="Times New Roman"/>
                <w:color w:val="auto"/>
                <w:kern w:val="0"/>
                <w:sz w:val="18"/>
                <w:szCs w:val="18"/>
                <w:lang w:val="en-US" w:eastAsia="zh-CN"/>
              </w:rPr>
              <w:t>0.1</w:t>
            </w:r>
          </w:p>
        </w:tc>
        <w:tc>
          <w:tcPr>
            <w:tcW w:w="930"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0.1</w:t>
            </w:r>
          </w:p>
        </w:tc>
        <w:tc>
          <w:tcPr>
            <w:tcW w:w="810" w:type="dxa"/>
            <w:tcBorders>
              <w:top w:val="nil"/>
              <w:left w:val="nil"/>
              <w:bottom w:val="single" w:color="auto" w:sz="4" w:space="0"/>
              <w:right w:val="single" w:color="auto" w:sz="4" w:space="0"/>
            </w:tcBorders>
            <w:vAlign w:val="bottom"/>
          </w:tcPr>
          <w:p>
            <w:pPr>
              <w:widowControl/>
              <w:jc w:val="left"/>
              <w:rPr>
                <w:rFonts w:ascii="宋体" w:cs="Times New Roman"/>
                <w:color w:val="auto"/>
                <w:kern w:val="0"/>
                <w:sz w:val="16"/>
                <w:szCs w:val="16"/>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hAnsi="Calibri" w:eastAsia="宋体" w:cs="Times New Roman"/>
                <w:color w:val="000000"/>
                <w:kern w:val="0"/>
                <w:sz w:val="16"/>
                <w:szCs w:val="16"/>
                <w:lang w:val="en-US" w:eastAsia="zh-CN" w:bidi="ar-SA"/>
              </w:rPr>
            </w:pPr>
            <w:r>
              <w:rPr>
                <w:rFonts w:hint="eastAsia" w:ascii="宋体" w:cs="Times New Roman"/>
                <w:color w:val="000000"/>
                <w:kern w:val="0"/>
                <w:sz w:val="16"/>
                <w:szCs w:val="16"/>
                <w:lang w:val="en-US" w:eastAsia="zh-CN"/>
              </w:rPr>
              <w:t>2013402</w:t>
            </w:r>
          </w:p>
        </w:tc>
        <w:tc>
          <w:tcPr>
            <w:tcW w:w="2295"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color w:val="000000"/>
                <w:kern w:val="0"/>
                <w:sz w:val="16"/>
                <w:szCs w:val="16"/>
                <w:lang w:val="en-US" w:eastAsia="zh-CN" w:bidi="ar-SA"/>
              </w:rPr>
            </w:pPr>
            <w:r>
              <w:rPr>
                <w:rFonts w:hint="eastAsia" w:ascii="宋体" w:hAnsi="宋体" w:cs="宋体"/>
                <w:kern w:val="0"/>
                <w:sz w:val="18"/>
                <w:szCs w:val="18"/>
              </w:rPr>
              <w:t>一般行政管理事务</w:t>
            </w:r>
          </w:p>
        </w:tc>
        <w:tc>
          <w:tcPr>
            <w:tcW w:w="765"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auto"/>
                <w:kern w:val="0"/>
                <w:sz w:val="16"/>
                <w:szCs w:val="16"/>
                <w:lang w:val="en-US" w:eastAsia="zh-CN" w:bidi="ar-SA"/>
              </w:rPr>
            </w:pPr>
          </w:p>
        </w:tc>
        <w:tc>
          <w:tcPr>
            <w:tcW w:w="930"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auto"/>
                <w:kern w:val="0"/>
                <w:sz w:val="16"/>
                <w:szCs w:val="16"/>
                <w:lang w:val="en-US" w:eastAsia="zh-CN" w:bidi="ar-SA"/>
              </w:rPr>
            </w:pPr>
          </w:p>
        </w:tc>
        <w:tc>
          <w:tcPr>
            <w:tcW w:w="81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auto"/>
                <w:kern w:val="0"/>
                <w:sz w:val="16"/>
                <w:szCs w:val="16"/>
                <w:lang w:val="en-US" w:eastAsia="zh-CN" w:bidi="ar-SA"/>
              </w:rPr>
            </w:pP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hint="eastAsia" w:ascii="宋体" w:cs="Times New Roman"/>
                <w:color w:val="000000"/>
                <w:kern w:val="0"/>
                <w:sz w:val="16"/>
                <w:szCs w:val="16"/>
                <w:lang w:val="en-US" w:eastAsia="zh-CN"/>
              </w:rPr>
            </w:pPr>
            <w:r>
              <w:rPr>
                <w:rFonts w:hint="eastAsia" w:ascii="Arial" w:hAnsi="Arial" w:cs="宋体"/>
                <w:kern w:val="0"/>
                <w:sz w:val="18"/>
                <w:szCs w:val="18"/>
                <w:lang w:val="en-US" w:eastAsia="zh-CN"/>
              </w:rPr>
              <w:t>2013402</w:t>
            </w:r>
          </w:p>
        </w:tc>
        <w:tc>
          <w:tcPr>
            <w:tcW w:w="2295" w:type="dxa"/>
            <w:tcBorders>
              <w:top w:val="nil"/>
              <w:left w:val="nil"/>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rPr>
              <w:t>　</w:t>
            </w:r>
            <w:r>
              <w:rPr>
                <w:rFonts w:hint="eastAsia" w:ascii="宋体" w:hAnsi="宋体" w:cs="宋体"/>
                <w:color w:val="000000"/>
                <w:kern w:val="0"/>
                <w:sz w:val="20"/>
                <w:szCs w:val="20"/>
                <w:lang w:eastAsia="zh-CN"/>
              </w:rPr>
              <w:t>具有清真饮食习惯的少数民族肉食补贴区级配套</w:t>
            </w:r>
          </w:p>
        </w:tc>
        <w:tc>
          <w:tcPr>
            <w:tcW w:w="765" w:type="dxa"/>
            <w:tcBorders>
              <w:top w:val="nil"/>
              <w:left w:val="nil"/>
              <w:bottom w:val="single" w:color="auto" w:sz="4" w:space="0"/>
              <w:right w:val="single" w:color="auto" w:sz="4" w:space="0"/>
            </w:tcBorders>
            <w:vAlign w:val="bottom"/>
          </w:tcPr>
          <w:p>
            <w:pPr>
              <w:widowControl/>
              <w:jc w:val="right"/>
              <w:rPr>
                <w:rFonts w:hint="default" w:ascii="宋体" w:cs="Times New Roman"/>
                <w:color w:val="auto"/>
                <w:kern w:val="0"/>
                <w:sz w:val="16"/>
                <w:szCs w:val="16"/>
                <w:lang w:val="en-US" w:eastAsia="zh-CN"/>
              </w:rPr>
            </w:pPr>
            <w:r>
              <w:rPr>
                <w:rFonts w:hint="eastAsia" w:ascii="宋体" w:cs="Times New Roman"/>
                <w:color w:val="auto"/>
                <w:kern w:val="0"/>
                <w:sz w:val="16"/>
                <w:szCs w:val="16"/>
                <w:lang w:val="en-US" w:eastAsia="zh-CN"/>
              </w:rPr>
              <w:t>28.87</w:t>
            </w:r>
          </w:p>
        </w:tc>
        <w:tc>
          <w:tcPr>
            <w:tcW w:w="930"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auto"/>
                <w:kern w:val="0"/>
                <w:sz w:val="16"/>
                <w:szCs w:val="16"/>
                <w:lang w:val="en-US" w:eastAsia="zh-CN" w:bidi="ar-SA"/>
              </w:rPr>
            </w:pPr>
          </w:p>
        </w:tc>
        <w:tc>
          <w:tcPr>
            <w:tcW w:w="810" w:type="dxa"/>
            <w:tcBorders>
              <w:top w:val="nil"/>
              <w:left w:val="nil"/>
              <w:bottom w:val="single" w:color="auto" w:sz="4" w:space="0"/>
              <w:right w:val="single" w:color="auto" w:sz="4" w:space="0"/>
            </w:tcBorders>
            <w:vAlign w:val="bottom"/>
          </w:tcPr>
          <w:p>
            <w:pPr>
              <w:widowControl/>
              <w:jc w:val="right"/>
              <w:rPr>
                <w:rFonts w:hint="default" w:ascii="宋体" w:cs="Times New Roman"/>
                <w:color w:val="auto"/>
                <w:kern w:val="0"/>
                <w:sz w:val="16"/>
                <w:szCs w:val="16"/>
                <w:lang w:val="en-US" w:eastAsia="zh-CN"/>
              </w:rPr>
            </w:pPr>
            <w:r>
              <w:rPr>
                <w:rFonts w:hint="eastAsia" w:ascii="宋体" w:cs="Times New Roman"/>
                <w:color w:val="auto"/>
                <w:kern w:val="0"/>
                <w:sz w:val="16"/>
                <w:szCs w:val="16"/>
                <w:lang w:val="en-US" w:eastAsia="zh-CN"/>
              </w:rPr>
              <w:t>28.87</w:t>
            </w: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327"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hint="eastAsia" w:ascii="宋体" w:cs="Times New Roman"/>
                <w:color w:val="000000"/>
                <w:kern w:val="0"/>
                <w:sz w:val="16"/>
                <w:szCs w:val="16"/>
                <w:lang w:val="en-US" w:eastAsia="zh-CN"/>
              </w:rPr>
            </w:pPr>
            <w:r>
              <w:rPr>
                <w:rFonts w:hint="eastAsia" w:ascii="Arial" w:hAnsi="Arial" w:cs="宋体"/>
                <w:kern w:val="0"/>
                <w:sz w:val="18"/>
                <w:szCs w:val="18"/>
                <w:lang w:val="en-US" w:eastAsia="zh-CN"/>
              </w:rPr>
              <w:t>2013402</w:t>
            </w:r>
          </w:p>
        </w:tc>
        <w:tc>
          <w:tcPr>
            <w:tcW w:w="2295" w:type="dxa"/>
            <w:tcBorders>
              <w:top w:val="nil"/>
              <w:left w:val="nil"/>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eastAsia="zh-CN"/>
              </w:rPr>
              <w:t>党派经费</w:t>
            </w:r>
          </w:p>
        </w:tc>
        <w:tc>
          <w:tcPr>
            <w:tcW w:w="765" w:type="dxa"/>
            <w:tcBorders>
              <w:top w:val="nil"/>
              <w:left w:val="nil"/>
              <w:bottom w:val="single" w:color="auto" w:sz="4" w:space="0"/>
              <w:right w:val="single" w:color="auto" w:sz="4" w:space="0"/>
            </w:tcBorders>
            <w:vAlign w:val="bottom"/>
          </w:tcPr>
          <w:p>
            <w:pPr>
              <w:widowControl/>
              <w:jc w:val="right"/>
              <w:rPr>
                <w:rFonts w:hint="default" w:ascii="宋体" w:cs="Times New Roman"/>
                <w:color w:val="auto"/>
                <w:kern w:val="0"/>
                <w:sz w:val="16"/>
                <w:szCs w:val="16"/>
                <w:lang w:val="en-US" w:eastAsia="zh-CN"/>
              </w:rPr>
            </w:pPr>
            <w:r>
              <w:rPr>
                <w:rFonts w:hint="eastAsia" w:ascii="宋体" w:cs="Times New Roman"/>
                <w:color w:val="auto"/>
                <w:kern w:val="0"/>
                <w:sz w:val="16"/>
                <w:szCs w:val="16"/>
                <w:lang w:val="en-US" w:eastAsia="zh-CN"/>
              </w:rPr>
              <w:t>38</w:t>
            </w:r>
          </w:p>
        </w:tc>
        <w:tc>
          <w:tcPr>
            <w:tcW w:w="930"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auto"/>
                <w:kern w:val="0"/>
                <w:sz w:val="16"/>
                <w:szCs w:val="16"/>
                <w:lang w:val="en-US" w:eastAsia="zh-CN" w:bidi="ar-SA"/>
              </w:rPr>
            </w:pPr>
          </w:p>
        </w:tc>
        <w:tc>
          <w:tcPr>
            <w:tcW w:w="810" w:type="dxa"/>
            <w:tcBorders>
              <w:top w:val="nil"/>
              <w:left w:val="nil"/>
              <w:bottom w:val="single" w:color="auto" w:sz="4" w:space="0"/>
              <w:right w:val="single" w:color="auto" w:sz="4" w:space="0"/>
            </w:tcBorders>
            <w:vAlign w:val="bottom"/>
          </w:tcPr>
          <w:p>
            <w:pPr>
              <w:widowControl/>
              <w:jc w:val="right"/>
              <w:rPr>
                <w:rFonts w:hint="default" w:ascii="宋体" w:cs="Times New Roman"/>
                <w:color w:val="auto"/>
                <w:kern w:val="0"/>
                <w:sz w:val="16"/>
                <w:szCs w:val="16"/>
                <w:lang w:val="en-US" w:eastAsia="zh-CN"/>
              </w:rPr>
            </w:pPr>
            <w:r>
              <w:rPr>
                <w:rFonts w:hint="eastAsia" w:ascii="宋体" w:cs="Times New Roman"/>
                <w:color w:val="auto"/>
                <w:kern w:val="0"/>
                <w:sz w:val="16"/>
                <w:szCs w:val="16"/>
                <w:lang w:val="en-US" w:eastAsia="zh-CN"/>
              </w:rPr>
              <w:t>38</w:t>
            </w: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hint="eastAsia" w:ascii="宋体" w:cs="Times New Roman"/>
                <w:color w:val="000000"/>
                <w:kern w:val="0"/>
                <w:sz w:val="16"/>
                <w:szCs w:val="16"/>
                <w:lang w:val="en-US" w:eastAsia="zh-CN"/>
              </w:rPr>
            </w:pPr>
            <w:r>
              <w:rPr>
                <w:rFonts w:hint="eastAsia" w:ascii="宋体" w:hAnsi="宋体" w:cs="宋体"/>
                <w:color w:val="000000"/>
                <w:kern w:val="0"/>
                <w:sz w:val="20"/>
                <w:szCs w:val="20"/>
                <w:lang w:val="en-US" w:eastAsia="zh-CN"/>
              </w:rPr>
              <w:t>2013402</w:t>
            </w:r>
          </w:p>
        </w:tc>
        <w:tc>
          <w:tcPr>
            <w:tcW w:w="2295" w:type="dxa"/>
            <w:tcBorders>
              <w:top w:val="nil"/>
              <w:left w:val="nil"/>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eastAsia="zh-CN"/>
              </w:rPr>
              <w:t>民族宗教工作经费</w:t>
            </w:r>
          </w:p>
        </w:tc>
        <w:tc>
          <w:tcPr>
            <w:tcW w:w="765" w:type="dxa"/>
            <w:tcBorders>
              <w:top w:val="nil"/>
              <w:left w:val="nil"/>
              <w:bottom w:val="single" w:color="auto" w:sz="4" w:space="0"/>
              <w:right w:val="single" w:color="auto" w:sz="4" w:space="0"/>
            </w:tcBorders>
            <w:vAlign w:val="bottom"/>
          </w:tcPr>
          <w:p>
            <w:pPr>
              <w:widowControl/>
              <w:jc w:val="right"/>
              <w:rPr>
                <w:rFonts w:hint="default" w:ascii="宋体" w:cs="Times New Roman"/>
                <w:color w:val="auto"/>
                <w:kern w:val="0"/>
                <w:sz w:val="16"/>
                <w:szCs w:val="16"/>
                <w:lang w:val="en-US" w:eastAsia="zh-CN"/>
              </w:rPr>
            </w:pPr>
            <w:r>
              <w:rPr>
                <w:rFonts w:hint="eastAsia" w:ascii="宋体" w:cs="Times New Roman"/>
                <w:color w:val="auto"/>
                <w:kern w:val="0"/>
                <w:sz w:val="16"/>
                <w:szCs w:val="16"/>
                <w:lang w:val="en-US" w:eastAsia="zh-CN"/>
              </w:rPr>
              <w:t>5</w:t>
            </w:r>
          </w:p>
        </w:tc>
        <w:tc>
          <w:tcPr>
            <w:tcW w:w="930"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auto"/>
                <w:kern w:val="0"/>
                <w:sz w:val="16"/>
                <w:szCs w:val="16"/>
                <w:lang w:val="en-US" w:eastAsia="zh-CN" w:bidi="ar-SA"/>
              </w:rPr>
            </w:pPr>
          </w:p>
        </w:tc>
        <w:tc>
          <w:tcPr>
            <w:tcW w:w="810" w:type="dxa"/>
            <w:tcBorders>
              <w:top w:val="nil"/>
              <w:left w:val="nil"/>
              <w:bottom w:val="single" w:color="auto" w:sz="4" w:space="0"/>
              <w:right w:val="single" w:color="auto" w:sz="4" w:space="0"/>
            </w:tcBorders>
            <w:vAlign w:val="bottom"/>
          </w:tcPr>
          <w:p>
            <w:pPr>
              <w:widowControl/>
              <w:jc w:val="right"/>
              <w:rPr>
                <w:rFonts w:hint="default" w:ascii="宋体" w:cs="Times New Roman"/>
                <w:color w:val="auto"/>
                <w:kern w:val="0"/>
                <w:sz w:val="16"/>
                <w:szCs w:val="16"/>
                <w:lang w:val="en-US" w:eastAsia="zh-CN"/>
              </w:rPr>
            </w:pPr>
            <w:r>
              <w:rPr>
                <w:rFonts w:hint="eastAsia" w:ascii="宋体" w:cs="Times New Roman"/>
                <w:color w:val="auto"/>
                <w:kern w:val="0"/>
                <w:sz w:val="16"/>
                <w:szCs w:val="16"/>
                <w:lang w:val="en-US" w:eastAsia="zh-CN"/>
              </w:rPr>
              <w:t>5</w:t>
            </w: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1042" w:type="dxa"/>
            <w:tcBorders>
              <w:top w:val="single" w:color="auto" w:sz="4" w:space="0"/>
              <w:left w:val="single" w:color="auto" w:sz="4" w:space="0"/>
              <w:bottom w:val="single" w:color="auto" w:sz="4" w:space="0"/>
              <w:right w:val="single" w:color="000000" w:sz="4" w:space="0"/>
            </w:tcBorders>
            <w:vAlign w:val="bottom"/>
          </w:tcPr>
          <w:p>
            <w:pPr>
              <w:widowControl/>
              <w:jc w:val="left"/>
              <w:rPr>
                <w:rFonts w:hint="eastAsia" w:ascii="宋体" w:cs="Times New Roman"/>
                <w:color w:val="000000"/>
                <w:kern w:val="0"/>
                <w:sz w:val="16"/>
                <w:szCs w:val="16"/>
                <w:lang w:val="en-US" w:eastAsia="zh-CN"/>
              </w:rPr>
            </w:pPr>
            <w:r>
              <w:rPr>
                <w:rFonts w:hint="eastAsia" w:ascii="Arial" w:hAnsi="Arial" w:cs="宋体"/>
                <w:kern w:val="0"/>
                <w:sz w:val="18"/>
                <w:szCs w:val="18"/>
                <w:lang w:val="en-US" w:eastAsia="zh-CN"/>
              </w:rPr>
              <w:t>2013402</w:t>
            </w:r>
          </w:p>
        </w:tc>
        <w:tc>
          <w:tcPr>
            <w:tcW w:w="2295" w:type="dxa"/>
            <w:tcBorders>
              <w:top w:val="nil"/>
              <w:left w:val="nil"/>
              <w:bottom w:val="single" w:color="auto" w:sz="4" w:space="0"/>
              <w:right w:val="single" w:color="auto" w:sz="4" w:space="0"/>
            </w:tcBorders>
            <w:vAlign w:val="bottom"/>
          </w:tcPr>
          <w:p>
            <w:pPr>
              <w:widowControl/>
              <w:jc w:val="left"/>
              <w:rPr>
                <w:rFonts w:hint="eastAsia" w:ascii="宋体" w:hAnsi="宋体" w:cs="宋体"/>
                <w:kern w:val="0"/>
                <w:sz w:val="18"/>
                <w:szCs w:val="18"/>
              </w:rPr>
            </w:pPr>
            <w:r>
              <w:rPr>
                <w:rFonts w:hint="eastAsia" w:ascii="宋体" w:hAnsi="宋体" w:cs="宋体"/>
                <w:color w:val="000000"/>
                <w:kern w:val="0"/>
                <w:sz w:val="20"/>
                <w:szCs w:val="20"/>
                <w:lang w:eastAsia="zh-CN"/>
              </w:rPr>
              <w:t>职工体检费</w:t>
            </w:r>
          </w:p>
        </w:tc>
        <w:tc>
          <w:tcPr>
            <w:tcW w:w="765" w:type="dxa"/>
            <w:tcBorders>
              <w:top w:val="nil"/>
              <w:left w:val="nil"/>
              <w:bottom w:val="single" w:color="auto" w:sz="4" w:space="0"/>
              <w:right w:val="single" w:color="auto" w:sz="4" w:space="0"/>
            </w:tcBorders>
            <w:vAlign w:val="bottom"/>
          </w:tcPr>
          <w:p>
            <w:pPr>
              <w:widowControl/>
              <w:jc w:val="right"/>
              <w:rPr>
                <w:rFonts w:hint="default" w:ascii="宋体" w:cs="Times New Roman"/>
                <w:color w:val="auto"/>
                <w:kern w:val="0"/>
                <w:sz w:val="16"/>
                <w:szCs w:val="16"/>
                <w:lang w:val="en-US" w:eastAsia="zh-CN"/>
              </w:rPr>
            </w:pPr>
            <w:r>
              <w:rPr>
                <w:rFonts w:hint="eastAsia" w:ascii="宋体" w:cs="Times New Roman"/>
                <w:color w:val="auto"/>
                <w:kern w:val="0"/>
                <w:sz w:val="16"/>
                <w:szCs w:val="16"/>
                <w:lang w:val="en-US" w:eastAsia="zh-CN"/>
              </w:rPr>
              <w:t>1.2</w:t>
            </w:r>
          </w:p>
        </w:tc>
        <w:tc>
          <w:tcPr>
            <w:tcW w:w="930"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auto"/>
                <w:kern w:val="0"/>
                <w:sz w:val="16"/>
                <w:szCs w:val="16"/>
                <w:lang w:val="en-US" w:eastAsia="zh-CN" w:bidi="ar-SA"/>
              </w:rPr>
            </w:pPr>
          </w:p>
        </w:tc>
        <w:tc>
          <w:tcPr>
            <w:tcW w:w="810" w:type="dxa"/>
            <w:tcBorders>
              <w:top w:val="nil"/>
              <w:left w:val="nil"/>
              <w:bottom w:val="single" w:color="auto" w:sz="4" w:space="0"/>
              <w:right w:val="single" w:color="auto" w:sz="4" w:space="0"/>
            </w:tcBorders>
            <w:vAlign w:val="bottom"/>
          </w:tcPr>
          <w:p>
            <w:pPr>
              <w:widowControl/>
              <w:jc w:val="right"/>
              <w:rPr>
                <w:rFonts w:hint="default" w:ascii="宋体" w:cs="Times New Roman"/>
                <w:color w:val="auto"/>
                <w:kern w:val="0"/>
                <w:sz w:val="16"/>
                <w:szCs w:val="16"/>
                <w:lang w:val="en-US" w:eastAsia="zh-CN"/>
              </w:rPr>
            </w:pPr>
            <w:r>
              <w:rPr>
                <w:rFonts w:hint="eastAsia" w:ascii="宋体" w:cs="Times New Roman"/>
                <w:color w:val="auto"/>
                <w:kern w:val="0"/>
                <w:sz w:val="16"/>
                <w:szCs w:val="16"/>
                <w:lang w:val="en-US" w:eastAsia="zh-CN"/>
              </w:rPr>
              <w:t>1.2</w:t>
            </w: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r>
        <w:tblPrEx>
          <w:tblCellMar>
            <w:top w:w="0" w:type="dxa"/>
            <w:left w:w="108" w:type="dxa"/>
            <w:bottom w:w="0" w:type="dxa"/>
            <w:right w:w="108" w:type="dxa"/>
          </w:tblCellMar>
        </w:tblPrEx>
        <w:trPr>
          <w:trHeight w:val="225" w:hRule="atLeast"/>
        </w:trPr>
        <w:tc>
          <w:tcPr>
            <w:tcW w:w="3337"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76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259.62</w:t>
            </w:r>
          </w:p>
        </w:tc>
        <w:tc>
          <w:tcPr>
            <w:tcW w:w="93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186.55</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auto"/>
                <w:kern w:val="0"/>
                <w:sz w:val="16"/>
                <w:szCs w:val="16"/>
                <w:lang w:val="en-US" w:eastAsia="zh-CN"/>
              </w:rPr>
            </w:pPr>
            <w:r>
              <w:rPr>
                <w:rFonts w:hint="eastAsia" w:ascii="宋体" w:cs="Times New Roman"/>
                <w:color w:val="auto"/>
                <w:kern w:val="0"/>
                <w:sz w:val="16"/>
                <w:szCs w:val="16"/>
                <w:lang w:val="en-US" w:eastAsia="zh-CN"/>
              </w:rPr>
              <w:t>73.07</w:t>
            </w:r>
          </w:p>
        </w:tc>
        <w:tc>
          <w:tcPr>
            <w:tcW w:w="778"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auto"/>
                <w:kern w:val="0"/>
                <w:sz w:val="16"/>
                <w:szCs w:val="16"/>
              </w:rPr>
            </w:pPr>
          </w:p>
        </w:tc>
      </w:tr>
    </w:tbl>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年度部门预算情况说明</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ascii="宋体" w:hAnsi="宋体" w:cs="宋体"/>
          <w:b/>
          <w:bCs/>
          <w:color w:val="3E3E3E"/>
          <w:kern w:val="0"/>
          <w:sz w:val="32"/>
          <w:szCs w:val="32"/>
        </w:rPr>
        <w:t xml:space="preserve">    </w:t>
      </w:r>
      <w:r>
        <w:rPr>
          <w:rFonts w:hint="eastAsia" w:ascii="宋体" w:hAnsi="宋体" w:cs="宋体"/>
          <w:b/>
          <w:bCs/>
          <w:color w:val="3E3E3E"/>
          <w:kern w:val="0"/>
          <w:sz w:val="32"/>
          <w:szCs w:val="32"/>
        </w:rPr>
        <w:t>一、</w:t>
      </w:r>
      <w:r>
        <w:rPr>
          <w:rFonts w:hint="eastAsia" w:ascii="宋体" w:hAnsi="宋体" w:cs="宋体"/>
          <w:b/>
          <w:bCs/>
          <w:color w:val="3E3E3E"/>
          <w:kern w:val="0"/>
          <w:sz w:val="32"/>
          <w:szCs w:val="32"/>
          <w:lang w:eastAsia="zh-CN"/>
        </w:rPr>
        <w:t>202</w:t>
      </w:r>
      <w:r>
        <w:rPr>
          <w:rFonts w:hint="eastAsia" w:ascii="宋体" w:hAnsi="宋体" w:cs="宋体"/>
          <w:b/>
          <w:bCs/>
          <w:color w:val="3E3E3E"/>
          <w:kern w:val="0"/>
          <w:sz w:val="32"/>
          <w:szCs w:val="32"/>
          <w:lang w:val="en-US" w:eastAsia="zh-CN"/>
        </w:rPr>
        <w:t>3</w:t>
      </w:r>
      <w:r>
        <w:rPr>
          <w:rFonts w:hint="eastAsia" w:ascii="宋体" w:hAnsi="宋体" w:cs="宋体"/>
          <w:b/>
          <w:bCs/>
          <w:color w:val="3E3E3E"/>
          <w:kern w:val="0"/>
          <w:sz w:val="32"/>
          <w:szCs w:val="32"/>
        </w:rPr>
        <w:t>年财政拨款收支说明</w:t>
      </w:r>
    </w:p>
    <w:p>
      <w:pPr>
        <w:widowControl/>
        <w:spacing w:before="100" w:beforeAutospacing="1" w:after="100" w:afterAutospacing="1" w:line="360" w:lineRule="auto"/>
        <w:jc w:val="left"/>
        <w:rPr>
          <w:rFonts w:ascii="宋体" w:cs="宋体"/>
          <w:color w:val="3E3E3E"/>
          <w:kern w:val="0"/>
          <w:sz w:val="32"/>
          <w:szCs w:val="32"/>
        </w:rPr>
      </w:pPr>
      <w:r>
        <w:rPr>
          <w:rFonts w:ascii="宋体" w:hAnsi="宋体" w:cs="宋体"/>
          <w:color w:val="3E3E3E"/>
          <w:kern w:val="0"/>
          <w:sz w:val="32"/>
          <w:szCs w:val="32"/>
        </w:rPr>
        <w:t xml:space="preserve">    20</w:t>
      </w:r>
      <w:r>
        <w:rPr>
          <w:rFonts w:hint="eastAsia" w:ascii="宋体" w:hAnsi="宋体" w:cs="宋体"/>
          <w:color w:val="3E3E3E"/>
          <w:kern w:val="0"/>
          <w:sz w:val="32"/>
          <w:szCs w:val="32"/>
          <w:lang w:val="en-US" w:eastAsia="zh-CN"/>
        </w:rPr>
        <w:t>23</w:t>
      </w:r>
      <w:r>
        <w:rPr>
          <w:rFonts w:hint="eastAsia" w:ascii="宋体" w:hAnsi="宋体" w:cs="宋体"/>
          <w:color w:val="3E3E3E"/>
          <w:kern w:val="0"/>
          <w:sz w:val="32"/>
          <w:szCs w:val="32"/>
        </w:rPr>
        <w:t>年财政拨款</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w:t>
      </w:r>
      <w:r>
        <w:rPr>
          <w:rFonts w:ascii="宋体" w:cs="宋体"/>
          <w:color w:val="3E3E3E"/>
          <w:kern w:val="0"/>
          <w:sz w:val="32"/>
          <w:szCs w:val="32"/>
        </w:rPr>
        <w:t>,</w:t>
      </w:r>
      <w:r>
        <w:rPr>
          <w:rFonts w:hint="eastAsia" w:ascii="宋体" w:hAnsi="宋体" w:cs="宋体"/>
          <w:color w:val="3E3E3E"/>
          <w:kern w:val="0"/>
          <w:sz w:val="32"/>
          <w:szCs w:val="32"/>
        </w:rPr>
        <w:t>收入合计</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w:t>
      </w:r>
      <w:r>
        <w:rPr>
          <w:rFonts w:ascii="宋体" w:cs="宋体"/>
          <w:color w:val="3E3E3E"/>
          <w:kern w:val="0"/>
          <w:sz w:val="32"/>
          <w:szCs w:val="32"/>
        </w:rPr>
        <w:t>.</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20</w:t>
      </w:r>
      <w:r>
        <w:rPr>
          <w:rFonts w:hint="eastAsia" w:ascii="宋体" w:hAnsi="宋体" w:cs="宋体"/>
          <w:color w:val="3E3E3E"/>
          <w:kern w:val="0"/>
          <w:sz w:val="32"/>
          <w:szCs w:val="32"/>
          <w:lang w:val="en-US" w:eastAsia="zh-CN"/>
        </w:rPr>
        <w:t>23</w:t>
      </w:r>
      <w:r>
        <w:rPr>
          <w:rFonts w:hint="eastAsia" w:ascii="宋体" w:hAnsi="宋体" w:cs="宋体"/>
          <w:color w:val="3E3E3E"/>
          <w:kern w:val="0"/>
          <w:sz w:val="32"/>
          <w:szCs w:val="32"/>
        </w:rPr>
        <w:t>年财政预算支出</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万元，其中，基本支出</w:t>
      </w:r>
      <w:r>
        <w:rPr>
          <w:rFonts w:hint="eastAsia" w:ascii="宋体" w:hAnsi="宋体" w:cs="宋体"/>
          <w:color w:val="3E3E3E"/>
          <w:kern w:val="0"/>
          <w:sz w:val="32"/>
          <w:szCs w:val="32"/>
          <w:lang w:val="en-US" w:eastAsia="zh-CN"/>
        </w:rPr>
        <w:t>186.55</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73.07</w:t>
      </w:r>
      <w:r>
        <w:rPr>
          <w:rFonts w:hint="eastAsia" w:ascii="宋体" w:hAnsi="宋体" w:cs="宋体"/>
          <w:color w:val="3E3E3E"/>
          <w:kern w:val="0"/>
          <w:sz w:val="32"/>
          <w:szCs w:val="32"/>
        </w:rPr>
        <w:t>万元。</w:t>
      </w:r>
    </w:p>
    <w:p>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hint="eastAsia" w:ascii="宋体" w:hAnsi="宋体" w:cs="宋体"/>
          <w:color w:val="3E3E3E"/>
          <w:kern w:val="0"/>
          <w:sz w:val="32"/>
          <w:szCs w:val="32"/>
        </w:rPr>
        <w:t>二、一般公共预算支出表说明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基本支出</w:t>
      </w:r>
      <w:r>
        <w:rPr>
          <w:rFonts w:hint="eastAsia" w:ascii="宋体" w:hAnsi="宋体" w:cs="宋体"/>
          <w:color w:val="3E3E3E"/>
          <w:kern w:val="0"/>
          <w:sz w:val="32"/>
          <w:szCs w:val="32"/>
          <w:lang w:val="en-US" w:eastAsia="zh-CN"/>
        </w:rPr>
        <w:t>186.55</w:t>
      </w:r>
      <w:r>
        <w:rPr>
          <w:rFonts w:hint="eastAsia" w:ascii="宋体" w:hAnsi="宋体" w:cs="宋体"/>
          <w:color w:val="3E3E3E"/>
          <w:kern w:val="0"/>
          <w:sz w:val="32"/>
          <w:szCs w:val="32"/>
        </w:rPr>
        <w:t>万元</w:t>
      </w:r>
      <w:r>
        <w:rPr>
          <w:rFonts w:ascii="宋体" w:cs="宋体"/>
          <w:color w:val="3E3E3E"/>
          <w:kern w:val="0"/>
          <w:sz w:val="32"/>
          <w:szCs w:val="32"/>
        </w:rPr>
        <w:t>,</w:t>
      </w:r>
      <w:r>
        <w:rPr>
          <w:rFonts w:hint="eastAsia" w:ascii="宋体" w:hAnsi="宋体" w:cs="宋体"/>
          <w:color w:val="3E3E3E"/>
          <w:kern w:val="0"/>
          <w:sz w:val="32"/>
          <w:szCs w:val="32"/>
        </w:rPr>
        <w:t>项目支出</w:t>
      </w:r>
      <w:r>
        <w:rPr>
          <w:rFonts w:hint="eastAsia" w:ascii="宋体" w:hAnsi="宋体" w:cs="宋体"/>
          <w:color w:val="3E3E3E"/>
          <w:kern w:val="0"/>
          <w:sz w:val="32"/>
          <w:szCs w:val="32"/>
          <w:lang w:val="en-US" w:eastAsia="zh-CN"/>
        </w:rPr>
        <w:t>73.07</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三、一般公共预算基本支出情况说明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1.</w:t>
      </w:r>
      <w:r>
        <w:rPr>
          <w:rFonts w:hint="eastAsia" w:ascii="宋体" w:hAnsi="宋体" w:cs="宋体"/>
          <w:color w:val="3E3E3E"/>
          <w:kern w:val="0"/>
          <w:sz w:val="32"/>
          <w:szCs w:val="32"/>
        </w:rPr>
        <w:t>工资福利支出</w:t>
      </w:r>
      <w:r>
        <w:rPr>
          <w:rFonts w:hint="eastAsia" w:ascii="宋体" w:hAnsi="宋体" w:cs="宋体"/>
          <w:color w:val="3E3E3E"/>
          <w:kern w:val="0"/>
          <w:sz w:val="32"/>
          <w:szCs w:val="32"/>
          <w:lang w:val="en-US" w:eastAsia="zh-CN"/>
        </w:rPr>
        <w:t>170.93</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2.</w:t>
      </w:r>
      <w:r>
        <w:rPr>
          <w:rFonts w:hint="eastAsia" w:ascii="宋体" w:hAnsi="宋体" w:cs="宋体"/>
          <w:color w:val="3E3E3E"/>
          <w:kern w:val="0"/>
          <w:sz w:val="32"/>
          <w:szCs w:val="32"/>
        </w:rPr>
        <w:t>商品和服务支出</w:t>
      </w:r>
      <w:r>
        <w:rPr>
          <w:rFonts w:hint="eastAsia" w:ascii="宋体" w:hAnsi="宋体" w:cs="宋体"/>
          <w:color w:val="3E3E3E"/>
          <w:kern w:val="0"/>
          <w:sz w:val="32"/>
          <w:szCs w:val="32"/>
          <w:lang w:val="en-US" w:eastAsia="zh-CN"/>
        </w:rPr>
        <w:t>15.62</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共计基本支出</w:t>
      </w:r>
      <w:r>
        <w:rPr>
          <w:rFonts w:hint="eastAsia" w:ascii="宋体" w:hAnsi="宋体" w:cs="宋体"/>
          <w:color w:val="3E3E3E"/>
          <w:kern w:val="0"/>
          <w:sz w:val="32"/>
          <w:szCs w:val="32"/>
          <w:lang w:val="en-US" w:eastAsia="zh-CN"/>
        </w:rPr>
        <w:t>186.55</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b/>
          <w:bCs/>
          <w:color w:val="3E3E3E"/>
          <w:kern w:val="0"/>
          <w:sz w:val="32"/>
          <w:szCs w:val="32"/>
        </w:rPr>
      </w:pPr>
      <w:r>
        <w:rPr>
          <w:rFonts w:hint="eastAsia" w:ascii="宋体" w:hAnsi="宋体" w:cs="宋体"/>
          <w:color w:val="3E3E3E"/>
          <w:kern w:val="0"/>
          <w:sz w:val="32"/>
          <w:szCs w:val="32"/>
        </w:rPr>
        <w:t>四</w:t>
      </w:r>
      <w:r>
        <w:rPr>
          <w:rFonts w:hint="eastAsia" w:ascii="宋体" w:hAnsi="宋体" w:cs="宋体"/>
          <w:b/>
          <w:bCs/>
          <w:color w:val="3E3E3E"/>
          <w:kern w:val="0"/>
          <w:sz w:val="32"/>
          <w:szCs w:val="32"/>
        </w:rPr>
        <w:t>、</w:t>
      </w:r>
      <w:r>
        <w:rPr>
          <w:rFonts w:hint="eastAsia" w:ascii="宋体" w:hAnsi="宋体" w:cs="宋体"/>
          <w:b/>
          <w:bCs/>
          <w:color w:val="3E3E3E"/>
          <w:kern w:val="0"/>
          <w:sz w:val="32"/>
          <w:szCs w:val="32"/>
          <w:lang w:eastAsia="zh-CN"/>
        </w:rPr>
        <w:t>202</w:t>
      </w:r>
      <w:r>
        <w:rPr>
          <w:rFonts w:hint="eastAsia" w:ascii="宋体" w:hAnsi="宋体" w:cs="宋体"/>
          <w:b/>
          <w:bCs/>
          <w:color w:val="3E3E3E"/>
          <w:kern w:val="0"/>
          <w:sz w:val="32"/>
          <w:szCs w:val="32"/>
          <w:lang w:val="en-US" w:eastAsia="zh-CN"/>
        </w:rPr>
        <w:t>3</w:t>
      </w:r>
      <w:r>
        <w:rPr>
          <w:rFonts w:hint="eastAsia" w:ascii="宋体" w:hAnsi="宋体" w:cs="宋体"/>
          <w:b/>
          <w:bCs/>
          <w:color w:val="3E3E3E"/>
          <w:kern w:val="0"/>
          <w:sz w:val="32"/>
          <w:szCs w:val="32"/>
        </w:rPr>
        <w:t>年</w:t>
      </w:r>
      <w:r>
        <w:rPr>
          <w:rFonts w:hint="eastAsia" w:ascii="宋体" w:cs="宋体"/>
          <w:b/>
          <w:bCs/>
          <w:color w:val="3E3E3E"/>
          <w:kern w:val="0"/>
          <w:sz w:val="32"/>
          <w:szCs w:val="32"/>
        </w:rPr>
        <w:t>“</w:t>
      </w:r>
      <w:r>
        <w:rPr>
          <w:rFonts w:hint="eastAsia" w:ascii="宋体" w:hAnsi="宋体" w:cs="宋体"/>
          <w:b/>
          <w:bCs/>
          <w:color w:val="3E3E3E"/>
          <w:kern w:val="0"/>
          <w:sz w:val="32"/>
          <w:szCs w:val="32"/>
        </w:rPr>
        <w:t>三公</w:t>
      </w:r>
      <w:r>
        <w:rPr>
          <w:rFonts w:hint="eastAsia" w:ascii="宋体" w:cs="宋体"/>
          <w:b/>
          <w:bCs/>
          <w:color w:val="3E3E3E"/>
          <w:kern w:val="0"/>
          <w:sz w:val="32"/>
          <w:szCs w:val="32"/>
        </w:rPr>
        <w:t>”</w:t>
      </w:r>
      <w:r>
        <w:rPr>
          <w:rFonts w:hint="eastAsia" w:ascii="宋体" w:hAnsi="宋体" w:cs="宋体"/>
          <w:b/>
          <w:bCs/>
          <w:color w:val="3E3E3E"/>
          <w:kern w:val="0"/>
          <w:sz w:val="32"/>
          <w:szCs w:val="32"/>
        </w:rPr>
        <w:t>经费预算情况说明</w:t>
      </w:r>
    </w:p>
    <w:p>
      <w:pPr>
        <w:widowControl/>
        <w:spacing w:before="100" w:beforeAutospacing="1" w:after="100" w:afterAutospacing="1" w:line="360" w:lineRule="auto"/>
        <w:ind w:firstLine="640"/>
        <w:jc w:val="left"/>
        <w:rPr>
          <w:rFonts w:hint="eastAsia" w:ascii="宋体" w:hAnsi="宋体" w:cs="宋体"/>
          <w:color w:val="3E3E3E"/>
          <w:kern w:val="0"/>
          <w:sz w:val="32"/>
          <w:szCs w:val="32"/>
        </w:rPr>
      </w:pPr>
      <w:r>
        <w:rPr>
          <w:rFonts w:hint="eastAsia" w:ascii="宋体" w:hAnsi="宋体" w:cs="宋体"/>
          <w:color w:val="3E3E3E"/>
          <w:kern w:val="0"/>
          <w:sz w:val="32"/>
          <w:szCs w:val="32"/>
        </w:rPr>
        <w:t>无此项预算支出。</w:t>
      </w:r>
    </w:p>
    <w:p>
      <w:pPr>
        <w:widowControl/>
        <w:spacing w:before="100" w:beforeAutospacing="1" w:after="100" w:afterAutospacing="1" w:line="360" w:lineRule="auto"/>
        <w:ind w:firstLine="640"/>
        <w:jc w:val="left"/>
        <w:rPr>
          <w:rFonts w:ascii="宋体" w:cs="Times New Roman"/>
          <w:b/>
          <w:bCs/>
          <w:color w:val="3E3E3E"/>
          <w:kern w:val="0"/>
          <w:sz w:val="32"/>
          <w:szCs w:val="32"/>
        </w:rPr>
      </w:pPr>
      <w:r>
        <w:rPr>
          <w:rFonts w:hint="eastAsia" w:ascii="宋体" w:hAnsi="宋体" w:cs="宋体"/>
          <w:b/>
          <w:bCs/>
          <w:color w:val="3E3E3E"/>
          <w:kern w:val="0"/>
          <w:sz w:val="32"/>
          <w:szCs w:val="32"/>
        </w:rPr>
        <w:t>五、政府性基金预算说明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无此项预算支出。</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六、部门收支表说明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lang w:eastAsia="zh-CN"/>
        </w:rPr>
        <w:t>区委统战部</w:t>
      </w:r>
      <w:r>
        <w:rPr>
          <w:rFonts w:ascii="宋体" w:hAnsi="宋体" w:cs="宋体"/>
          <w:color w:val="3E3E3E"/>
          <w:kern w:val="0"/>
          <w:sz w:val="32"/>
          <w:szCs w:val="32"/>
        </w:rPr>
        <w:t>20</w:t>
      </w:r>
      <w:r>
        <w:rPr>
          <w:rFonts w:hint="eastAsia" w:ascii="宋体" w:hAnsi="宋体" w:cs="宋体"/>
          <w:color w:val="3E3E3E"/>
          <w:kern w:val="0"/>
          <w:sz w:val="32"/>
          <w:szCs w:val="32"/>
          <w:lang w:val="en-US" w:eastAsia="zh-CN"/>
        </w:rPr>
        <w:t>23年</w:t>
      </w:r>
      <w:r>
        <w:rPr>
          <w:rFonts w:hint="eastAsia" w:ascii="宋体" w:hAnsi="宋体" w:cs="宋体"/>
          <w:color w:val="3E3E3E"/>
          <w:kern w:val="0"/>
          <w:sz w:val="32"/>
          <w:szCs w:val="32"/>
        </w:rPr>
        <w:t>总收入</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一般公共服务支出</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七、部门收入总表情况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2022年总收入</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八、部门支出总表情况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按功能分类：一般公共服务支出</w:t>
      </w:r>
      <w:r>
        <w:rPr>
          <w:rFonts w:hint="eastAsia" w:ascii="宋体" w:hAnsi="宋体" w:cs="宋体"/>
          <w:color w:val="3E3E3E"/>
          <w:kern w:val="0"/>
          <w:sz w:val="32"/>
          <w:szCs w:val="32"/>
          <w:lang w:val="en-US" w:eastAsia="zh-CN"/>
        </w:rPr>
        <w:t>259.62</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科目分类：基本支出</w:t>
      </w:r>
      <w:r>
        <w:rPr>
          <w:rFonts w:hint="eastAsia" w:ascii="宋体" w:hAnsi="宋体" w:cs="宋体"/>
          <w:color w:val="3E3E3E"/>
          <w:kern w:val="0"/>
          <w:sz w:val="32"/>
          <w:szCs w:val="32"/>
          <w:lang w:val="en-US" w:eastAsia="zh-CN"/>
        </w:rPr>
        <w:t>186.55</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73.07</w:t>
      </w:r>
      <w:r>
        <w:rPr>
          <w:rFonts w:hint="eastAsia" w:ascii="宋体" w:hAnsi="宋体" w:cs="宋体"/>
          <w:color w:val="3E3E3E"/>
          <w:kern w:val="0"/>
          <w:sz w:val="32"/>
          <w:szCs w:val="32"/>
        </w:rPr>
        <w:t>万元。</w:t>
      </w:r>
    </w:p>
    <w:p>
      <w:pPr>
        <w:spacing w:line="500" w:lineRule="exact"/>
        <w:ind w:firstLine="640" w:firstLineChars="200"/>
        <w:rPr>
          <w:rFonts w:ascii="宋体" w:cs="Times New Roman"/>
          <w:sz w:val="32"/>
          <w:szCs w:val="32"/>
        </w:rPr>
      </w:pPr>
      <w:r>
        <w:rPr>
          <w:rFonts w:hint="eastAsia" w:ascii="宋体" w:hAnsi="宋体" w:cs="宋体"/>
          <w:sz w:val="32"/>
          <w:szCs w:val="32"/>
        </w:rPr>
        <w:t>九、机关运行经费支出情况</w:t>
      </w:r>
    </w:p>
    <w:p>
      <w:pPr>
        <w:spacing w:line="500" w:lineRule="exact"/>
        <w:ind w:firstLine="640" w:firstLineChars="200"/>
        <w:rPr>
          <w:rFonts w:ascii="宋体" w:cs="Times New Roman"/>
          <w:sz w:val="32"/>
          <w:szCs w:val="32"/>
        </w:rPr>
      </w:pPr>
      <w:r>
        <w:rPr>
          <w:rFonts w:ascii="宋体" w:hAnsi="宋体" w:cs="宋体"/>
          <w:sz w:val="32"/>
          <w:szCs w:val="32"/>
        </w:rPr>
        <w:t>20</w:t>
      </w:r>
      <w:r>
        <w:rPr>
          <w:rFonts w:hint="eastAsia" w:ascii="宋体" w:hAnsi="宋体" w:cs="宋体"/>
          <w:sz w:val="32"/>
          <w:szCs w:val="32"/>
          <w:lang w:val="en-US" w:eastAsia="zh-CN"/>
        </w:rPr>
        <w:t>23</w:t>
      </w:r>
      <w:r>
        <w:rPr>
          <w:rFonts w:hint="eastAsia" w:ascii="宋体" w:hAnsi="宋体" w:cs="宋体"/>
          <w:sz w:val="32"/>
          <w:szCs w:val="32"/>
        </w:rPr>
        <w:t>年</w:t>
      </w:r>
      <w:r>
        <w:rPr>
          <w:rFonts w:hint="eastAsia" w:ascii="宋体" w:hAnsi="宋体" w:cs="宋体"/>
          <w:sz w:val="32"/>
          <w:szCs w:val="32"/>
          <w:lang w:eastAsia="zh-CN"/>
        </w:rPr>
        <w:t>区委统战部</w:t>
      </w:r>
      <w:r>
        <w:rPr>
          <w:rFonts w:hint="eastAsia" w:ascii="宋体" w:hAnsi="宋体" w:cs="宋体"/>
          <w:sz w:val="32"/>
          <w:szCs w:val="32"/>
        </w:rPr>
        <w:t>的机关运行经费财政拨款支出</w:t>
      </w:r>
      <w:r>
        <w:rPr>
          <w:rFonts w:hint="eastAsia" w:ascii="宋体" w:hAnsi="宋体" w:cs="宋体"/>
          <w:sz w:val="32"/>
          <w:szCs w:val="32"/>
          <w:lang w:val="en-US" w:eastAsia="zh-CN"/>
        </w:rPr>
        <w:t>5.25</w:t>
      </w:r>
      <w:r>
        <w:rPr>
          <w:rFonts w:hint="eastAsia" w:ascii="宋体" w:hAnsi="宋体" w:cs="宋体"/>
          <w:sz w:val="32"/>
          <w:szCs w:val="32"/>
        </w:rPr>
        <w:t>万元，其中办公费</w:t>
      </w:r>
      <w:r>
        <w:rPr>
          <w:rFonts w:hint="eastAsia" w:ascii="宋体" w:hAnsi="宋体" w:cs="宋体"/>
          <w:sz w:val="32"/>
          <w:szCs w:val="32"/>
          <w:lang w:val="en-US" w:eastAsia="zh-CN"/>
        </w:rPr>
        <w:t>3</w:t>
      </w:r>
      <w:r>
        <w:rPr>
          <w:rFonts w:hint="eastAsia" w:ascii="宋体" w:hAnsi="宋体" w:cs="宋体"/>
          <w:sz w:val="32"/>
          <w:szCs w:val="32"/>
        </w:rPr>
        <w:t>万元，差旅费</w:t>
      </w:r>
      <w:r>
        <w:rPr>
          <w:rFonts w:hint="eastAsia" w:ascii="宋体" w:hAnsi="宋体" w:cs="宋体"/>
          <w:sz w:val="32"/>
          <w:szCs w:val="32"/>
          <w:lang w:val="en-US" w:eastAsia="zh-CN"/>
        </w:rPr>
        <w:t>1</w:t>
      </w:r>
      <w:r>
        <w:rPr>
          <w:rFonts w:hint="eastAsia" w:ascii="宋体" w:hAnsi="宋体" w:cs="宋体"/>
          <w:sz w:val="32"/>
          <w:szCs w:val="32"/>
        </w:rPr>
        <w:t>万元</w:t>
      </w:r>
      <w:r>
        <w:rPr>
          <w:rFonts w:hint="eastAsia" w:ascii="宋体" w:hAnsi="宋体" w:cs="宋体"/>
          <w:sz w:val="32"/>
          <w:szCs w:val="32"/>
          <w:lang w:eastAsia="zh-CN"/>
        </w:rPr>
        <w:t>，办公设备购置</w:t>
      </w:r>
      <w:r>
        <w:rPr>
          <w:rFonts w:hint="eastAsia" w:ascii="宋体" w:hAnsi="宋体" w:cs="宋体"/>
          <w:sz w:val="32"/>
          <w:szCs w:val="32"/>
          <w:lang w:val="en-US" w:eastAsia="zh-CN"/>
        </w:rPr>
        <w:t>1.25</w:t>
      </w:r>
      <w:r>
        <w:rPr>
          <w:rFonts w:hint="eastAsia" w:ascii="宋体" w:hAnsi="宋体" w:cs="宋体"/>
          <w:sz w:val="32"/>
          <w:szCs w:val="32"/>
        </w:rPr>
        <w:t>万元。</w:t>
      </w:r>
    </w:p>
    <w:p>
      <w:pPr>
        <w:spacing w:line="500" w:lineRule="exac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十、政府采购支出情况</w:t>
      </w:r>
    </w:p>
    <w:p>
      <w:pPr>
        <w:spacing w:line="500" w:lineRule="exact"/>
        <w:ind w:firstLine="640" w:firstLineChars="200"/>
        <w:rPr>
          <w:rFonts w:ascii="宋体" w:cs="Times New Roman"/>
          <w:sz w:val="32"/>
          <w:szCs w:val="32"/>
        </w:rPr>
      </w:pPr>
      <w:r>
        <w:rPr>
          <w:rFonts w:ascii="宋体" w:hAnsi="宋体" w:cs="宋体"/>
          <w:sz w:val="32"/>
          <w:szCs w:val="32"/>
        </w:rPr>
        <w:t>20</w:t>
      </w:r>
      <w:r>
        <w:rPr>
          <w:rFonts w:hint="eastAsia" w:ascii="宋体" w:hAnsi="宋体" w:cs="宋体"/>
          <w:sz w:val="32"/>
          <w:szCs w:val="32"/>
          <w:lang w:val="en-US" w:eastAsia="zh-CN"/>
        </w:rPr>
        <w:t>23</w:t>
      </w:r>
      <w:r>
        <w:rPr>
          <w:rFonts w:hint="eastAsia" w:ascii="宋体" w:hAnsi="宋体" w:cs="宋体"/>
          <w:sz w:val="32"/>
          <w:szCs w:val="32"/>
        </w:rPr>
        <w:t>年</w:t>
      </w:r>
      <w:r>
        <w:rPr>
          <w:rFonts w:hint="eastAsia" w:ascii="宋体" w:hAnsi="宋体" w:cs="宋体"/>
          <w:sz w:val="32"/>
          <w:szCs w:val="32"/>
          <w:lang w:eastAsia="zh-CN"/>
        </w:rPr>
        <w:t>区委统战部</w:t>
      </w:r>
      <w:r>
        <w:rPr>
          <w:rFonts w:hint="eastAsia" w:ascii="宋体" w:hAnsi="宋体" w:cs="宋体"/>
          <w:sz w:val="32"/>
          <w:szCs w:val="32"/>
        </w:rPr>
        <w:t>采购项目预算</w:t>
      </w:r>
      <w:r>
        <w:rPr>
          <w:rFonts w:hint="eastAsia" w:ascii="宋体" w:hAnsi="宋体" w:cs="宋体"/>
          <w:sz w:val="32"/>
          <w:szCs w:val="32"/>
          <w:lang w:val="en-US" w:eastAsia="zh-CN"/>
        </w:rPr>
        <w:t>1.25</w:t>
      </w:r>
      <w:r>
        <w:rPr>
          <w:rFonts w:hint="eastAsia" w:ascii="宋体" w:hAnsi="宋体" w:cs="宋体"/>
          <w:sz w:val="32"/>
          <w:szCs w:val="32"/>
        </w:rPr>
        <w:t>万元，全部实行政府采购。</w:t>
      </w:r>
    </w:p>
    <w:p>
      <w:pPr>
        <w:spacing w:line="500" w:lineRule="exac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十一、国有资产占用情况</w:t>
      </w:r>
    </w:p>
    <w:p>
      <w:pPr>
        <w:spacing w:line="500" w:lineRule="exact"/>
        <w:ind w:firstLine="640" w:firstLineChars="200"/>
        <w:rPr>
          <w:rFonts w:ascii="宋体" w:cs="Times New Roman"/>
          <w:sz w:val="32"/>
          <w:szCs w:val="32"/>
        </w:rPr>
      </w:pPr>
      <w:r>
        <w:rPr>
          <w:rFonts w:hint="eastAsia" w:ascii="宋体" w:hAnsi="宋体" w:cs="宋体"/>
          <w:sz w:val="32"/>
          <w:szCs w:val="32"/>
        </w:rPr>
        <w:t>本单位无公务用车。</w:t>
      </w:r>
    </w:p>
    <w:p>
      <w:pPr>
        <w:spacing w:line="500" w:lineRule="exact"/>
        <w:ind w:firstLine="480" w:firstLineChars="150"/>
        <w:rPr>
          <w:rFonts w:ascii="宋体" w:cs="Times New Roman"/>
          <w:sz w:val="32"/>
          <w:szCs w:val="32"/>
        </w:rPr>
      </w:pPr>
      <w:r>
        <w:rPr>
          <w:rFonts w:hint="eastAsia" w:ascii="宋体" w:hAnsi="宋体" w:cs="宋体"/>
          <w:sz w:val="32"/>
          <w:szCs w:val="32"/>
        </w:rPr>
        <w:t>十二、预算绩效情况</w:t>
      </w:r>
    </w:p>
    <w:p>
      <w:pPr>
        <w:autoSpaceDE w:val="0"/>
        <w:autoSpaceDN w:val="0"/>
        <w:adjustRightInd w:val="0"/>
        <w:rPr>
          <w:rFonts w:ascii="宋体" w:cs="宋体"/>
          <w:sz w:val="32"/>
          <w:szCs w:val="32"/>
        </w:rPr>
      </w:pPr>
      <w:r>
        <w:rPr>
          <w:rFonts w:hint="eastAsia" w:ascii="宋体" w:hAnsi="宋体" w:cs="宋体"/>
          <w:sz w:val="32"/>
          <w:szCs w:val="32"/>
          <w:lang w:val="en-US" w:eastAsia="zh-CN"/>
        </w:rPr>
        <w:t>2023</w:t>
      </w:r>
      <w:r>
        <w:rPr>
          <w:rFonts w:hint="eastAsia" w:ascii="宋体" w:hAnsi="宋体" w:cs="宋体"/>
          <w:sz w:val="32"/>
          <w:szCs w:val="32"/>
        </w:rPr>
        <w:t>年</w:t>
      </w:r>
      <w:r>
        <w:rPr>
          <w:rFonts w:hint="eastAsia" w:ascii="宋体" w:hAnsi="宋体" w:cs="宋体"/>
          <w:sz w:val="32"/>
          <w:szCs w:val="32"/>
          <w:lang w:eastAsia="zh-CN"/>
        </w:rPr>
        <w:t>区委统战部</w:t>
      </w:r>
      <w:r>
        <w:rPr>
          <w:rFonts w:hint="eastAsia" w:ascii="宋体" w:hAnsi="宋体" w:cs="宋体"/>
          <w:sz w:val="32"/>
          <w:szCs w:val="32"/>
        </w:rPr>
        <w:t>列入部门预算项目主要是</w:t>
      </w:r>
      <w:r>
        <w:rPr>
          <w:rFonts w:hint="eastAsia" w:ascii="宋体" w:hAnsi="宋体" w:cs="宋体"/>
          <w:sz w:val="32"/>
          <w:szCs w:val="32"/>
          <w:lang w:eastAsia="zh-CN"/>
        </w:rPr>
        <w:t>民族宗教经费</w:t>
      </w:r>
      <w:r>
        <w:rPr>
          <w:rFonts w:hint="eastAsia" w:ascii="宋体" w:hAnsi="宋体" w:cs="宋体"/>
          <w:sz w:val="32"/>
          <w:szCs w:val="32"/>
          <w:lang w:val="en-US" w:eastAsia="zh-CN"/>
        </w:rPr>
        <w:t>5万元</w:t>
      </w:r>
      <w:r>
        <w:rPr>
          <w:rFonts w:hint="eastAsia" w:ascii="宋体" w:hAnsi="宋体" w:cs="宋体"/>
          <w:sz w:val="32"/>
          <w:szCs w:val="32"/>
        </w:rPr>
        <w:t>，绩效目标是确保</w:t>
      </w:r>
      <w:r>
        <w:rPr>
          <w:rFonts w:hint="eastAsia" w:ascii="宋体" w:hAnsi="宋体" w:cs="宋体"/>
          <w:sz w:val="32"/>
          <w:szCs w:val="32"/>
          <w:lang w:eastAsia="zh-CN"/>
        </w:rPr>
        <w:t>全区民族宗教领域和谐稳定</w:t>
      </w:r>
      <w:r>
        <w:rPr>
          <w:rFonts w:hint="eastAsia" w:ascii="宋体" w:hAnsi="宋体" w:cs="宋体"/>
          <w:sz w:val="32"/>
          <w:szCs w:val="32"/>
        </w:rPr>
        <w:t>。</w:t>
      </w:r>
    </w:p>
    <w:p>
      <w:pPr>
        <w:autoSpaceDE w:val="0"/>
        <w:autoSpaceDN w:val="0"/>
        <w:adjustRightInd w:val="0"/>
        <w:rPr>
          <w:rFonts w:ascii="宋体" w:cs="Times New Roman"/>
          <w:color w:val="3E3E3E"/>
          <w:kern w:val="0"/>
          <w:sz w:val="32"/>
          <w:szCs w:val="32"/>
        </w:rPr>
      </w:pPr>
    </w:p>
    <w:p>
      <w:pPr>
        <w:autoSpaceDE w:val="0"/>
        <w:autoSpaceDN w:val="0"/>
        <w:adjustRightInd w:val="0"/>
        <w:rPr>
          <w:rFonts w:ascii="宋体" w:cs="Times New Roman"/>
          <w:b/>
          <w:bCs/>
          <w:kern w:val="0"/>
          <w:sz w:val="32"/>
          <w:szCs w:val="32"/>
        </w:rPr>
      </w:pPr>
      <w:r>
        <w:rPr>
          <w:rFonts w:hint="eastAsia" w:ascii="宋体" w:hAnsi="宋体" w:cs="宋体"/>
          <w:b/>
          <w:bCs/>
          <w:kern w:val="0"/>
          <w:sz w:val="32"/>
          <w:szCs w:val="32"/>
        </w:rPr>
        <w:t>第四部分名词解释</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一、财政拨款收入：指中央财政当年拨付的资金。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二、事业收入：指事业单位开展专业业务活动及辅助活动所取得的收入。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三、事业单位经营收入：指事业单位在专业业务活动及其辅助活动之外开展非独立核算经营活动取得的收入。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四、其他收入：指除上述“财政拨款收入”、“事业收入”、“事业单位经营收入”等以外的收入。主要是按规定动用的售房收入、存款利息收入等。</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六、上年结转：指以前年度尚未完成，结转到本年仍按原规定用途继续使用的资金（预算中为预计数）。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七、结转下年：指以前年度预算安排、因客观条件发生变化无法按原计划实施，需延迟到以后年度按原规定用途继续使用的资金（预算中为预计数）。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八、基本支出：指为保障机构正常运转、完成日常工作任务而发生的人员支出和公用支出。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九、项目支出：指在基本支出之外为完成特定行政任务和事业发展目标所发生的支出。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十、事业单位经营支出：指事业单位在专业业务活动及其辅助活动之外开展非独立核算经营活动发生的支出。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十一、住房公积金（科目代码</w:t>
      </w:r>
      <w:r>
        <w:rPr>
          <w:rFonts w:ascii="宋体" w:hAnsi="宋体" w:cs="宋体"/>
          <w:kern w:val="0"/>
          <w:sz w:val="32"/>
          <w:szCs w:val="32"/>
        </w:rPr>
        <w:t>2210201</w:t>
      </w:r>
      <w:r>
        <w:rPr>
          <w:rFonts w:hint="eastAsia" w:ascii="宋体" w:hAnsi="宋体" w:cs="宋体"/>
          <w:kern w:val="0"/>
          <w:sz w:val="32"/>
          <w:szCs w:val="32"/>
        </w:rPr>
        <w:t>）：指按照《住房公积金管理条例》的规定，由单位及其在职职工缴存的长期住房储金。该项政策始于上世纪九十年代中期，在全国机关、企事业单位在职职工中普遍实施，缴存比例最低不低于</w:t>
      </w:r>
      <w:r>
        <w:rPr>
          <w:rFonts w:ascii="宋体" w:hAnsi="宋体" w:cs="宋体"/>
          <w:kern w:val="0"/>
          <w:sz w:val="32"/>
          <w:szCs w:val="32"/>
        </w:rPr>
        <w:t>5</w:t>
      </w:r>
      <w:r>
        <w:rPr>
          <w:rFonts w:hint="eastAsia" w:ascii="宋体" w:hAnsi="宋体" w:cs="宋体"/>
          <w:kern w:val="0"/>
          <w:sz w:val="32"/>
          <w:szCs w:val="32"/>
        </w:rPr>
        <w:t>％，最高不超过</w:t>
      </w:r>
      <w:r>
        <w:rPr>
          <w:rFonts w:ascii="宋体" w:hAnsi="宋体" w:cs="宋体"/>
          <w:kern w:val="0"/>
          <w:sz w:val="32"/>
          <w:szCs w:val="32"/>
        </w:rPr>
        <w:t>12</w:t>
      </w:r>
      <w:r>
        <w:rPr>
          <w:rFonts w:hint="eastAsia" w:ascii="宋体" w:hAnsi="宋体" w:cs="宋体"/>
          <w:kern w:val="0"/>
          <w:sz w:val="32"/>
          <w:szCs w:val="32"/>
        </w:rPr>
        <w:t>％，缴存基数为职工本人上年工资，目前已实施近</w:t>
      </w:r>
      <w:r>
        <w:rPr>
          <w:rFonts w:ascii="宋体" w:hAnsi="宋体" w:cs="宋体"/>
          <w:kern w:val="0"/>
          <w:sz w:val="32"/>
          <w:szCs w:val="32"/>
        </w:rPr>
        <w:t xml:space="preserve">20 </w:t>
      </w:r>
      <w:r>
        <w:rPr>
          <w:rFonts w:hint="eastAsia" w:ascii="宋体" w:hAnsi="宋体" w:cs="宋体"/>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十二、提租补贴（科目代码</w:t>
      </w:r>
      <w:r>
        <w:rPr>
          <w:rFonts w:ascii="宋体" w:hAnsi="宋体" w:cs="宋体"/>
          <w:kern w:val="0"/>
          <w:sz w:val="32"/>
          <w:szCs w:val="32"/>
        </w:rPr>
        <w:t>2210202</w:t>
      </w:r>
      <w:r>
        <w:rPr>
          <w:rFonts w:hint="eastAsia" w:ascii="宋体" w:hAnsi="宋体" w:cs="宋体"/>
          <w:kern w:val="0"/>
          <w:sz w:val="32"/>
          <w:szCs w:val="32"/>
        </w:rPr>
        <w:t>）：指经国务院批准，于</w:t>
      </w:r>
      <w:r>
        <w:rPr>
          <w:rFonts w:ascii="宋体" w:hAnsi="宋体" w:cs="宋体"/>
          <w:kern w:val="0"/>
          <w:sz w:val="32"/>
          <w:szCs w:val="32"/>
        </w:rPr>
        <w:t xml:space="preserve">2000 </w:t>
      </w:r>
      <w:r>
        <w:rPr>
          <w:rFonts w:hint="eastAsia" w:ascii="宋体" w:hAnsi="宋体" w:cs="宋体"/>
          <w:kern w:val="0"/>
          <w:sz w:val="32"/>
          <w:szCs w:val="32"/>
        </w:rPr>
        <w:t>年开始针对在京中央单位公有住房租金标准提高发放的补贴，中央在京单位按照在职在编职工人数和离退休人数以及相应职级的补贴标准确定，人均月补贴</w:t>
      </w:r>
      <w:r>
        <w:rPr>
          <w:rFonts w:ascii="宋体" w:hAnsi="宋体" w:cs="宋体"/>
          <w:kern w:val="0"/>
          <w:sz w:val="32"/>
          <w:szCs w:val="32"/>
        </w:rPr>
        <w:t xml:space="preserve">90 </w:t>
      </w:r>
      <w:r>
        <w:rPr>
          <w:rFonts w:hint="eastAsia" w:ascii="宋体" w:hAnsi="宋体" w:cs="宋体"/>
          <w:kern w:val="0"/>
          <w:sz w:val="32"/>
          <w:szCs w:val="32"/>
        </w:rPr>
        <w:t>元。</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十三、购房补贴（科目代码</w:t>
      </w:r>
      <w:r>
        <w:rPr>
          <w:rFonts w:ascii="宋体" w:hAnsi="宋体" w:cs="宋体"/>
          <w:kern w:val="0"/>
          <w:sz w:val="32"/>
          <w:szCs w:val="32"/>
        </w:rPr>
        <w:t>2210203</w:t>
      </w:r>
      <w:r>
        <w:rPr>
          <w:rFonts w:hint="eastAsia" w:ascii="宋体" w:hAnsi="宋体" w:cs="宋体"/>
          <w:kern w:val="0"/>
          <w:sz w:val="32"/>
          <w:szCs w:val="32"/>
        </w:rPr>
        <w:t>）：是指根据《国务院关于进一步深化城镇住房制度改革加快住房建设的通知》（国发</w:t>
      </w:r>
      <w:r>
        <w:rPr>
          <w:rFonts w:ascii="宋体" w:hAnsi="宋体" w:cs="宋体"/>
          <w:kern w:val="0"/>
          <w:sz w:val="32"/>
          <w:szCs w:val="32"/>
        </w:rPr>
        <w:t xml:space="preserve">[1998]23 </w:t>
      </w:r>
      <w:r>
        <w:rPr>
          <w:rFonts w:hint="eastAsia" w:ascii="宋体" w:hAnsi="宋体" w:cs="宋体"/>
          <w:kern w:val="0"/>
          <w:sz w:val="32"/>
          <w:szCs w:val="32"/>
        </w:rPr>
        <w:t>号）的规定，从</w:t>
      </w:r>
      <w:r>
        <w:rPr>
          <w:rFonts w:ascii="宋体" w:hAnsi="宋体" w:cs="宋体"/>
          <w:kern w:val="0"/>
          <w:sz w:val="32"/>
          <w:szCs w:val="32"/>
        </w:rPr>
        <w:t xml:space="preserve">1998 </w:t>
      </w:r>
      <w:r>
        <w:rPr>
          <w:rFonts w:hint="eastAsia" w:ascii="宋体" w:hAnsi="宋体" w:cs="宋体"/>
          <w:kern w:val="0"/>
          <w:sz w:val="32"/>
          <w:szCs w:val="32"/>
        </w:rPr>
        <w:t>年下半年停止实物分房后，房价收入比超过</w:t>
      </w:r>
      <w:r>
        <w:rPr>
          <w:rFonts w:ascii="宋体" w:hAnsi="宋体" w:cs="宋体"/>
          <w:kern w:val="0"/>
          <w:sz w:val="32"/>
          <w:szCs w:val="32"/>
        </w:rPr>
        <w:t xml:space="preserve">4 </w:t>
      </w:r>
      <w:r>
        <w:rPr>
          <w:rFonts w:hint="eastAsia" w:ascii="宋体" w:hAnsi="宋体" w:cs="宋体"/>
          <w:kern w:val="0"/>
          <w:sz w:val="32"/>
          <w:szCs w:val="32"/>
        </w:rPr>
        <w:t>倍以上地区对无房和住房未达标职工发放的住房货币化改革补贴资金。中央行政事业单位从</w:t>
      </w:r>
      <w:r>
        <w:rPr>
          <w:rFonts w:ascii="宋体" w:hAnsi="宋体" w:cs="宋体"/>
          <w:kern w:val="0"/>
          <w:sz w:val="32"/>
          <w:szCs w:val="32"/>
        </w:rPr>
        <w:t xml:space="preserve">2000 </w:t>
      </w:r>
      <w:r>
        <w:rPr>
          <w:rFonts w:hint="eastAsia" w:ascii="宋体" w:hAnsi="宋体" w:cs="宋体"/>
          <w:kern w:val="0"/>
          <w:sz w:val="32"/>
          <w:szCs w:val="32"/>
        </w:rPr>
        <w:t>年开始发放购房补贴资金，地方行政事业单位从</w:t>
      </w:r>
      <w:r>
        <w:rPr>
          <w:rFonts w:ascii="宋体" w:hAnsi="宋体" w:cs="宋体"/>
          <w:kern w:val="0"/>
          <w:sz w:val="32"/>
          <w:szCs w:val="32"/>
        </w:rPr>
        <w:t xml:space="preserve">1999 </w:t>
      </w:r>
      <w:r>
        <w:rPr>
          <w:rFonts w:hint="eastAsia" w:ascii="宋体" w:hAnsi="宋体" w:cs="宋体"/>
          <w:kern w:val="0"/>
          <w:sz w:val="32"/>
          <w:szCs w:val="32"/>
        </w:rPr>
        <w:t>年陆续开始发放购房补贴资金，企业根据本单位情况自行确定。在京中央单位按照《中共中央办公厅国务院办公厅转发建设部等单位</w:t>
      </w:r>
      <w:r>
        <w:rPr>
          <w:rFonts w:ascii="宋体" w:hAnsi="宋体" w:cs="宋体"/>
          <w:kern w:val="0"/>
          <w:sz w:val="32"/>
          <w:szCs w:val="32"/>
        </w:rPr>
        <w:t>&lt;</w:t>
      </w:r>
      <w:r>
        <w:rPr>
          <w:rFonts w:hint="eastAsia" w:ascii="宋体" w:hAnsi="宋体" w:cs="宋体"/>
          <w:kern w:val="0"/>
          <w:sz w:val="32"/>
          <w:szCs w:val="32"/>
        </w:rPr>
        <w:t>关于完善在京中央和国家机关住房制度的若干意见</w:t>
      </w:r>
      <w:r>
        <w:rPr>
          <w:rFonts w:ascii="宋体" w:hAnsi="宋体" w:cs="宋体"/>
          <w:kern w:val="0"/>
          <w:sz w:val="32"/>
          <w:szCs w:val="32"/>
        </w:rPr>
        <w:t>&gt;</w:t>
      </w:r>
      <w:r>
        <w:rPr>
          <w:rFonts w:hint="eastAsia" w:ascii="宋体" w:hAnsi="宋体" w:cs="宋体"/>
          <w:kern w:val="0"/>
          <w:sz w:val="32"/>
          <w:szCs w:val="32"/>
        </w:rPr>
        <w:t>的通知》（厅字</w:t>
      </w:r>
      <w:r>
        <w:rPr>
          <w:rFonts w:ascii="宋体" w:hAnsi="宋体" w:cs="宋体"/>
          <w:kern w:val="0"/>
          <w:sz w:val="32"/>
          <w:szCs w:val="32"/>
        </w:rPr>
        <w:t xml:space="preserve">[2005]8 </w:t>
      </w:r>
      <w:r>
        <w:rPr>
          <w:rFonts w:hint="eastAsia" w:ascii="宋体" w:hAnsi="宋体" w:cs="宋体"/>
          <w:kern w:val="0"/>
          <w:sz w:val="32"/>
          <w:szCs w:val="32"/>
        </w:rPr>
        <w:t>号）规定的标准执行，京外中央单位按照所在地人民政府住房分配货币化改革的政策规定和标准执行。</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jI0MzJkYWY5NGVhNWUxZWVjZjRlNjk0MzkxZDkifQ=="/>
  </w:docVars>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A7FBA"/>
    <w:rsid w:val="00300EEC"/>
    <w:rsid w:val="0035248F"/>
    <w:rsid w:val="003A7ECF"/>
    <w:rsid w:val="00415BBF"/>
    <w:rsid w:val="00437D6A"/>
    <w:rsid w:val="004415A0"/>
    <w:rsid w:val="0050084A"/>
    <w:rsid w:val="00520680"/>
    <w:rsid w:val="005211A3"/>
    <w:rsid w:val="005238B0"/>
    <w:rsid w:val="0057123B"/>
    <w:rsid w:val="005759CD"/>
    <w:rsid w:val="005C178A"/>
    <w:rsid w:val="00614FF8"/>
    <w:rsid w:val="00626C72"/>
    <w:rsid w:val="0066668B"/>
    <w:rsid w:val="006B7561"/>
    <w:rsid w:val="006E2BEF"/>
    <w:rsid w:val="00720D92"/>
    <w:rsid w:val="00732B62"/>
    <w:rsid w:val="00762C61"/>
    <w:rsid w:val="008718E6"/>
    <w:rsid w:val="00875658"/>
    <w:rsid w:val="008960D1"/>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C4B07"/>
    <w:rsid w:val="00DF2DDB"/>
    <w:rsid w:val="00E63DCC"/>
    <w:rsid w:val="00EB0DF0"/>
    <w:rsid w:val="00ED2B29"/>
    <w:rsid w:val="00F331A5"/>
    <w:rsid w:val="00F46C87"/>
    <w:rsid w:val="00F94E66"/>
    <w:rsid w:val="04600F58"/>
    <w:rsid w:val="0C4A1EDF"/>
    <w:rsid w:val="22057A5E"/>
    <w:rsid w:val="254C2FF9"/>
    <w:rsid w:val="28692698"/>
    <w:rsid w:val="2EF61271"/>
    <w:rsid w:val="31894FCB"/>
    <w:rsid w:val="33A16F2C"/>
    <w:rsid w:val="3F552E5A"/>
    <w:rsid w:val="441428C6"/>
    <w:rsid w:val="51444915"/>
    <w:rsid w:val="53C42C27"/>
    <w:rsid w:val="541F121C"/>
    <w:rsid w:val="57D87427"/>
    <w:rsid w:val="591447C5"/>
    <w:rsid w:val="5D6F2B20"/>
    <w:rsid w:val="66234BE1"/>
    <w:rsid w:val="6D035033"/>
    <w:rsid w:val="701B0C93"/>
    <w:rsid w:val="7070625D"/>
    <w:rsid w:val="73DB7BF9"/>
    <w:rsid w:val="79EF291C"/>
    <w:rsid w:val="7BB63D67"/>
    <w:rsid w:val="7E0229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Header Char"/>
    <w:basedOn w:val="6"/>
    <w:link w:val="3"/>
    <w:semiHidden/>
    <w:qFormat/>
    <w:locked/>
    <w:uiPriority w:val="99"/>
    <w:rPr>
      <w:sz w:val="18"/>
      <w:szCs w:val="18"/>
    </w:rPr>
  </w:style>
  <w:style w:type="character" w:customStyle="1" w:styleId="8">
    <w:name w:val="Footer Char"/>
    <w:basedOn w:val="6"/>
    <w:link w:val="2"/>
    <w:semiHidden/>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20</Pages>
  <Words>6350</Words>
  <Characters>7568</Characters>
  <Lines>0</Lines>
  <Paragraphs>0</Paragraphs>
  <TotalTime>3</TotalTime>
  <ScaleCrop>false</ScaleCrop>
  <LinksUpToDate>false</LinksUpToDate>
  <CharactersWithSpaces>8067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原来结局总是空</cp:lastModifiedBy>
  <dcterms:modified xsi:type="dcterms:W3CDTF">2023-01-09T02:33:24Z</dcterms:modified>
  <dc:title>2017年长春市工业和信息化局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61AA7DAFB6944FD8B6940747DB3E1E7E_13</vt:lpwstr>
  </property>
</Properties>
</file>