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方正小标宋简体"/>
          <w:sz w:val="44"/>
          <w:szCs w:val="44"/>
        </w:rPr>
      </w:pPr>
      <w:r>
        <w:rPr>
          <w:rFonts w:ascii="Arial" w:hAnsi="Arial" w:eastAsia="方正小标宋简体" w:cs="Arial"/>
          <w:sz w:val="44"/>
          <w:szCs w:val="44"/>
        </w:rPr>
        <w:t>20</w:t>
      </w:r>
      <w:r>
        <w:rPr>
          <w:rFonts w:hint="eastAsia" w:ascii="Arial" w:hAnsi="Arial" w:eastAsia="方正小标宋简体" w:cs="Arial"/>
          <w:sz w:val="44"/>
          <w:szCs w:val="44"/>
        </w:rPr>
        <w:t>2</w:t>
      </w:r>
      <w:r>
        <w:rPr>
          <w:rFonts w:hint="eastAsia" w:ascii="Arial" w:hAnsi="Arial" w:eastAsia="方正小标宋简体" w:cs="Arial"/>
          <w:sz w:val="44"/>
          <w:szCs w:val="44"/>
          <w:lang w:val="en-US" w:eastAsia="zh-CN"/>
        </w:rPr>
        <w:t>3</w:t>
      </w:r>
      <w:r>
        <w:rPr>
          <w:rFonts w:hint="eastAsia" w:ascii="Arial" w:hAnsi="Arial" w:eastAsia="方正小标宋简体" w:cs="方正小标宋简体"/>
          <w:sz w:val="44"/>
          <w:szCs w:val="44"/>
        </w:rPr>
        <w:t>年长春市二道区区委编办</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hint="eastAsia" w:ascii="Arial" w:hAnsi="Arial" w:eastAsia="方正小标宋简体" w:cs="Times New Roman"/>
          <w:sz w:val="44"/>
          <w:szCs w:val="44"/>
          <w:lang w:val="en-US" w:eastAsia="zh-CN"/>
        </w:rPr>
      </w:pPr>
      <w:r>
        <w:rPr>
          <w:rFonts w:hint="eastAsia" w:ascii="Arial" w:hAnsi="Arial" w:eastAsia="方正小标宋简体" w:cs="Times New Roman"/>
          <w:sz w:val="44"/>
          <w:szCs w:val="44"/>
          <w:lang w:val="en-US" w:eastAsia="zh-CN"/>
        </w:rPr>
        <w:t xml:space="preserve"> </w:t>
      </w:r>
      <w:bookmarkStart w:id="0" w:name="_GoBack"/>
      <w:bookmarkEnd w:id="0"/>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lang w:eastAsia="zh-CN"/>
        </w:rPr>
        <w:t>二〇二三年一月九日</w:t>
      </w: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年一般公共预算“三公”经费支出表情况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eastAsia="zh-CN"/>
        </w:rPr>
        <w:t>2023</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hint="eastAsia" w:ascii="宋体" w:hAnsi="宋体" w:cs="宋体"/>
          <w:sz w:val="44"/>
          <w:szCs w:val="44"/>
          <w:lang w:eastAsia="zh-CN"/>
        </w:rPr>
        <w:t>2023</w:t>
      </w:r>
      <w:r>
        <w:rPr>
          <w:rFonts w:hint="eastAsia" w:ascii="宋体" w:hAnsi="宋体" w:cs="宋体"/>
          <w:sz w:val="44"/>
          <w:szCs w:val="44"/>
        </w:rPr>
        <w:t>年度长春市二道区区委编办</w:t>
      </w:r>
    </w:p>
    <w:p>
      <w:pPr>
        <w:spacing w:line="360" w:lineRule="auto"/>
        <w:jc w:val="center"/>
        <w:rPr>
          <w:rFonts w:ascii="宋体" w:cs="Times New Roman"/>
          <w:sz w:val="44"/>
          <w:szCs w:val="44"/>
        </w:rPr>
      </w:pPr>
      <w:r>
        <w:rPr>
          <w:rFonts w:hint="eastAsia" w:ascii="宋体" w:hAnsi="宋体" w:cs="宋体"/>
          <w:sz w:val="44"/>
          <w:szCs w:val="44"/>
        </w:rPr>
        <w:t>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第一条  贯彻执行有关机构编制方面的方针、政策及法令、规定。</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第二条  研究拟定行政管理体制改革和机构改革的总体方案，审核区级党、政、群机关各部门的机构改革方案；指导区直机关各部门和乡、街的行政管理体制改革和机构改革工作。</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第三条  拟订机构编制管理的办法和规章。统一管理全区党政机关、人大、政协、法院、检察院机关，各民主党派、人民团体机关以及事业单位的机构编制工作。</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第四条  管理区委、区政府各部门的职能配置及调整工作。协调各部门之间、各部门与街乡之间的职责分工。</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第五条  审批区委、区政府各部门、区人大、区政协、区法院、区检察院和各民主党派、人民团体机关内部机构的设置。</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第六条  监督、检查和指导各级机关、各部门及事业单位机构编制工作。</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第七条  完成区委、区政府和中央、省、市机构编制委员会交办的其他工作任务。</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cs="Times New Roman"/>
          <w:b/>
          <w:bCs/>
          <w:color w:val="3E3E3E"/>
          <w:kern w:val="0"/>
          <w:sz w:val="32"/>
          <w:szCs w:val="32"/>
        </w:rPr>
        <w:t>二、内设机构</w:t>
      </w:r>
    </w:p>
    <w:p>
      <w:pPr>
        <w:tabs>
          <w:tab w:val="left" w:pos="426"/>
        </w:tabs>
        <w:overflowPunct w:val="0"/>
        <w:topLinePunct/>
        <w:spacing w:line="360" w:lineRule="auto"/>
        <w:ind w:firstLine="643" w:firstLineChars="200"/>
        <w:textAlignment w:val="baseline"/>
        <w:rPr>
          <w:rFonts w:asciiTheme="minorEastAsia" w:hAnsiTheme="minorEastAsia" w:eastAsiaTheme="minorEastAsia"/>
          <w:sz w:val="32"/>
          <w:szCs w:val="32"/>
        </w:rPr>
      </w:pPr>
      <w:r>
        <w:rPr>
          <w:rFonts w:hint="eastAsia" w:asciiTheme="minorEastAsia" w:hAnsiTheme="minorEastAsia" w:eastAsiaTheme="minorEastAsia"/>
          <w:b/>
          <w:sz w:val="32"/>
          <w:szCs w:val="32"/>
        </w:rPr>
        <w:t>综合科（监督检查科）科室职责</w:t>
      </w:r>
      <w:r>
        <w:rPr>
          <w:rFonts w:hint="eastAsia" w:asciiTheme="minorEastAsia" w:hAnsiTheme="minorEastAsia" w:eastAsiaTheme="minorEastAsia"/>
          <w:sz w:val="32"/>
          <w:szCs w:val="32"/>
        </w:rPr>
        <w:t>：</w:t>
      </w:r>
    </w:p>
    <w:p>
      <w:pPr>
        <w:tabs>
          <w:tab w:val="left" w:pos="426"/>
        </w:tabs>
        <w:overflowPunct w:val="0"/>
        <w:topLinePunct/>
        <w:spacing w:line="360" w:lineRule="auto"/>
        <w:ind w:firstLine="640" w:firstLineChars="200"/>
        <w:textAlignment w:val="baseline"/>
        <w:rPr>
          <w:rFonts w:asciiTheme="minorEastAsia" w:hAnsiTheme="minorEastAsia" w:eastAsiaTheme="minorEastAsia"/>
          <w:sz w:val="32"/>
          <w:szCs w:val="32"/>
        </w:rPr>
      </w:pPr>
      <w:r>
        <w:rPr>
          <w:rFonts w:hint="eastAsia" w:asciiTheme="minorEastAsia" w:hAnsiTheme="minorEastAsia" w:eastAsiaTheme="minorEastAsia"/>
          <w:sz w:val="32"/>
          <w:szCs w:val="32"/>
        </w:rPr>
        <w:t>1、负责区编委、区编办工作计划、工作总结、综合材料的起草拟定、工作；协助编办领导对政务、事务等有关工作进行综合协调和督促检查；负责编办政务运行和各项管理工作制度的起草制定及组织实施工作；负责重要会议的组织、文电处理、秘书事务、档案、保密保卫、信访、接待、提案和议案办复工作；负责本部门财务、固定资产等后勤管理工作；管理机关公共事务和行政工作；机构编制综合调研及信息资料汇集、分析工作；负责审批国家机关、事业单位职工全员工资基金总额。</w:t>
      </w:r>
    </w:p>
    <w:p>
      <w:pPr>
        <w:overflowPunct w:val="0"/>
        <w:topLinePunct/>
        <w:spacing w:line="360" w:lineRule="auto"/>
        <w:ind w:firstLine="640" w:firstLineChars="200"/>
        <w:textAlignment w:val="baseline"/>
        <w:rPr>
          <w:rFonts w:asciiTheme="minorEastAsia" w:hAnsiTheme="minorEastAsia" w:eastAsiaTheme="minorEastAsia"/>
          <w:sz w:val="32"/>
          <w:szCs w:val="32"/>
        </w:rPr>
      </w:pPr>
      <w:r>
        <w:rPr>
          <w:rFonts w:hint="eastAsia" w:asciiTheme="minorEastAsia" w:hAnsiTheme="minorEastAsia" w:eastAsiaTheme="minorEastAsia"/>
          <w:sz w:val="32"/>
          <w:szCs w:val="32"/>
        </w:rPr>
        <w:t>2、检查、监督全区机关事业单位贯彻执行国家和省市区有关行政管理体制、机构改革和机构编制管理方针、政策、法规的执行情况，并提出建议及处理意见。</w:t>
      </w:r>
    </w:p>
    <w:p>
      <w:pPr>
        <w:overflowPunct w:val="0"/>
        <w:topLinePunct/>
        <w:spacing w:line="360" w:lineRule="auto"/>
        <w:ind w:firstLine="643" w:firstLineChars="200"/>
        <w:textAlignment w:val="baseline"/>
        <w:rPr>
          <w:rFonts w:asciiTheme="minorEastAsia" w:hAnsiTheme="minorEastAsia" w:eastAsiaTheme="minorEastAsia"/>
          <w:b/>
          <w:sz w:val="32"/>
          <w:szCs w:val="32"/>
        </w:rPr>
      </w:pPr>
      <w:r>
        <w:rPr>
          <w:rFonts w:hint="eastAsia" w:asciiTheme="minorEastAsia" w:hAnsiTheme="minorEastAsia" w:eastAsiaTheme="minorEastAsia"/>
          <w:b/>
          <w:sz w:val="32"/>
          <w:szCs w:val="32"/>
        </w:rPr>
        <w:t>机构编制科科室职责：</w:t>
      </w:r>
    </w:p>
    <w:p>
      <w:pPr>
        <w:overflowPunct w:val="0"/>
        <w:topLinePunct/>
        <w:spacing w:line="360" w:lineRule="auto"/>
        <w:ind w:firstLine="640" w:firstLineChars="200"/>
        <w:textAlignment w:val="baseline"/>
        <w:rPr>
          <w:rFonts w:asciiTheme="minorEastAsia" w:hAnsiTheme="minorEastAsia" w:eastAsiaTheme="minorEastAsia"/>
          <w:sz w:val="32"/>
          <w:szCs w:val="32"/>
        </w:rPr>
      </w:pPr>
      <w:r>
        <w:rPr>
          <w:rFonts w:hint="eastAsia" w:asciiTheme="minorEastAsia" w:hAnsiTheme="minorEastAsia" w:eastAsiaTheme="minorEastAsia"/>
          <w:sz w:val="32"/>
          <w:szCs w:val="32"/>
        </w:rPr>
        <w:t>负责起草全区机关各部门及事业单位机构改革的总体方案；负责起草区编委、编办文件；负责审核全区机关各部门机构改革方案、内设机构和人员编制及领导职数；负责区机关、乡(镇)、街机关、事业单位机构编制管理工作；协调区机关各部门的职能配置及其调整，协调区委、区政府各部门之间的职责分工；协调区机关各部门与乡（镇）、街之间的职责分工。审核区属各类事业单位的机构改革方案以及机构设置、人员编制、领导职数和规格等。审议和承办区直事业单位相当于副处级以上事业单位规格的呈报审批手续。</w:t>
      </w:r>
    </w:p>
    <w:p>
      <w:pPr>
        <w:overflowPunct w:val="0"/>
        <w:topLinePunct/>
        <w:spacing w:line="360" w:lineRule="auto"/>
        <w:ind w:firstLine="643" w:firstLineChars="200"/>
        <w:textAlignment w:val="baseline"/>
        <w:rPr>
          <w:rFonts w:asciiTheme="minorEastAsia" w:hAnsiTheme="minorEastAsia" w:eastAsiaTheme="minorEastAsia"/>
          <w:b/>
          <w:sz w:val="32"/>
          <w:szCs w:val="32"/>
        </w:rPr>
      </w:pPr>
      <w:r>
        <w:rPr>
          <w:rFonts w:hint="eastAsia" w:asciiTheme="minorEastAsia" w:hAnsiTheme="minorEastAsia" w:eastAsiaTheme="minorEastAsia"/>
          <w:b/>
          <w:sz w:val="32"/>
          <w:szCs w:val="32"/>
        </w:rPr>
        <w:t>事业单位登记管理科科室职责：</w:t>
      </w:r>
    </w:p>
    <w:p>
      <w:pPr>
        <w:overflowPunct w:val="0"/>
        <w:topLinePunct/>
        <w:spacing w:line="360" w:lineRule="auto"/>
        <w:ind w:firstLine="640" w:firstLineChars="200"/>
        <w:textAlignment w:val="baseline"/>
        <w:rPr>
          <w:rFonts w:asciiTheme="minorEastAsia" w:hAnsiTheme="minorEastAsia" w:eastAsiaTheme="minorEastAsia"/>
          <w:sz w:val="32"/>
          <w:szCs w:val="32"/>
        </w:rPr>
      </w:pPr>
      <w:r>
        <w:rPr>
          <w:rFonts w:hint="eastAsia" w:asciiTheme="minorEastAsia" w:hAnsiTheme="minorEastAsia" w:eastAsiaTheme="minorEastAsia"/>
          <w:sz w:val="32"/>
          <w:szCs w:val="32"/>
        </w:rPr>
        <w:t>依法组织实施全区事业单位登记管理工作，保护全区核准登记或备案的事业单位有关登记事项的合法权益；监督全区事业单位贯彻落实事业单位登记管理的法律法规情况，处理违规事件；负责区属事业单位登记管理和年度检查工作；组织全区事业单位登记管理信息统计和联网工作。</w:t>
      </w:r>
    </w:p>
    <w:p>
      <w:pPr>
        <w:overflowPunct w:val="0"/>
        <w:topLinePunct/>
        <w:spacing w:line="360" w:lineRule="auto"/>
        <w:ind w:firstLine="643" w:firstLineChars="200"/>
        <w:textAlignment w:val="baseline"/>
        <w:rPr>
          <w:rFonts w:asciiTheme="minorEastAsia" w:hAnsiTheme="minorEastAsia" w:eastAsiaTheme="minorEastAsia"/>
          <w:b/>
          <w:sz w:val="32"/>
          <w:szCs w:val="32"/>
        </w:rPr>
      </w:pPr>
      <w:r>
        <w:rPr>
          <w:rFonts w:hint="eastAsia" w:asciiTheme="minorEastAsia" w:hAnsiTheme="minorEastAsia" w:eastAsiaTheme="minorEastAsia"/>
          <w:b/>
          <w:sz w:val="32"/>
          <w:szCs w:val="32"/>
        </w:rPr>
        <w:t>长春市二道区机构编制电子政务中心职责：</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Theme="minorEastAsia" w:hAnsiTheme="minorEastAsia" w:eastAsiaTheme="minorEastAsia"/>
          <w:sz w:val="32"/>
          <w:szCs w:val="32"/>
        </w:rPr>
        <w:t>负责全区机构编制统计、汇总、上报,编印机构编制资料汇编，组织指导全区机构编制信息的采集、整理、分析、发布，负责机关信息化建设和办公自动化管理及省机构编制人员实名制（二道部分）信息网络维护，负责互联网对外宣传工作，负责区编办重大会议、活动影像和声音资料的收集、整理，负责信息技术方面人员的培训和业务咨询工作，参与上级编办和区编办布置交办的课题研究工作。负责机关电子政务和信息化建设日常工作，负责本地的机构编制信息化建设工作；承担上级委托的政务和公益域名注册管理及网站开办审核和资质复核工作。落实上级机构编制部门电子政务规划、计划。</w:t>
      </w:r>
    </w:p>
    <w:p>
      <w:pPr>
        <w:widowControl/>
        <w:spacing w:before="100" w:beforeAutospacing="1" w:after="100" w:afterAutospacing="1"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tabs>
          <w:tab w:val="center" w:pos="4153"/>
        </w:tabs>
        <w:ind w:firstLine="640" w:firstLineChars="200"/>
        <w:rPr>
          <w:rFonts w:ascii="宋体" w:cs="Times New Roman"/>
          <w:color w:val="3E3E3E"/>
          <w:kern w:val="0"/>
          <w:sz w:val="32"/>
          <w:szCs w:val="32"/>
        </w:rPr>
      </w:pPr>
      <w:r>
        <w:rPr>
          <w:rFonts w:hint="eastAsia" w:ascii="宋体" w:hAnsi="宋体" w:cs="宋体"/>
          <w:color w:val="3E3E3E"/>
          <w:kern w:val="0"/>
          <w:sz w:val="32"/>
          <w:szCs w:val="32"/>
        </w:rPr>
        <w:t>　　中共长春市二道区机构编制委员会办公室</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ind w:firstLine="640" w:firstLineChars="200"/>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仿宋_GB2312" w:hAnsi="仿宋" w:eastAsia="仿宋_GB2312"/>
          <w:sz w:val="32"/>
          <w:szCs w:val="32"/>
          <w:lang w:eastAsia="zh-CN"/>
        </w:rPr>
        <w:t>2023</w:t>
      </w:r>
      <w:r>
        <w:rPr>
          <w:rFonts w:hint="eastAsia" w:ascii="仿宋_GB2312" w:hAnsi="仿宋" w:eastAsia="仿宋_GB2312"/>
          <w:sz w:val="32"/>
          <w:szCs w:val="32"/>
        </w:rPr>
        <w:t>年实有人员</w:t>
      </w:r>
      <w:r>
        <w:rPr>
          <w:rFonts w:hint="eastAsia" w:ascii="仿宋_GB2312" w:hAnsi="仿宋" w:eastAsia="仿宋_GB2312"/>
          <w:sz w:val="32"/>
          <w:szCs w:val="32"/>
          <w:lang w:val="en-US" w:eastAsia="zh-CN"/>
        </w:rPr>
        <w:t>13</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13</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ascii="宋体" w:hAnsi="宋体" w:cs="宋体"/>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　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hAnsi="宋体" w:cs="宋体"/>
          <w:color w:val="3E3E3E"/>
          <w:kern w:val="0"/>
          <w:sz w:val="32"/>
          <w:szCs w:val="32"/>
        </w:rPr>
      </w:pPr>
      <w:r>
        <w:drawing>
          <wp:inline distT="0" distB="0" distL="114300" distR="114300">
            <wp:extent cx="5269230" cy="2054860"/>
            <wp:effectExtent l="0" t="0" r="7620" b="25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5269230" cy="2054860"/>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hAnsi="宋体" w:cs="宋体"/>
          <w:color w:val="3E3E3E"/>
          <w:kern w:val="0"/>
          <w:sz w:val="32"/>
          <w:szCs w:val="32"/>
        </w:rPr>
      </w:pPr>
      <w:r>
        <w:drawing>
          <wp:inline distT="0" distB="0" distL="114300" distR="114300">
            <wp:extent cx="5265420" cy="2625090"/>
            <wp:effectExtent l="0" t="0" r="11430"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65420" cy="2625090"/>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drawing>
          <wp:inline distT="0" distB="0" distL="114300" distR="114300">
            <wp:extent cx="5272405" cy="2682240"/>
            <wp:effectExtent l="0" t="0" r="4445"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5272405" cy="2682240"/>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drawing>
          <wp:inline distT="0" distB="0" distL="114300" distR="114300">
            <wp:extent cx="5273040" cy="3180080"/>
            <wp:effectExtent l="0" t="0" r="381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3180080"/>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drawing>
          <wp:inline distT="0" distB="0" distL="114300" distR="114300">
            <wp:extent cx="5270500" cy="2708275"/>
            <wp:effectExtent l="0" t="0" r="6350"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0500" cy="2708275"/>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drawing>
          <wp:inline distT="0" distB="0" distL="114300" distR="114300">
            <wp:extent cx="5271135" cy="3371215"/>
            <wp:effectExtent l="0" t="0" r="5715" b="63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a:stretch>
                      <a:fillRect/>
                    </a:stretch>
                  </pic:blipFill>
                  <pic:spPr>
                    <a:xfrm>
                      <a:off x="0" y="0"/>
                      <a:ext cx="5271135" cy="3371215"/>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spacing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r>
        <w:drawing>
          <wp:inline distT="0" distB="0" distL="114300" distR="114300">
            <wp:extent cx="5263515" cy="2099310"/>
            <wp:effectExtent l="0" t="0" r="13335" b="1524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0"/>
                    <a:stretch>
                      <a:fillRect/>
                    </a:stretch>
                  </pic:blipFill>
                  <pic:spPr>
                    <a:xfrm>
                      <a:off x="0" y="0"/>
                      <a:ext cx="5263515" cy="2099310"/>
                    </a:xfrm>
                    <a:prstGeom prst="rect">
                      <a:avLst/>
                    </a:prstGeom>
                    <a:noFill/>
                    <a:ln>
                      <a:noFill/>
                    </a:ln>
                  </pic:spPr>
                </pic:pic>
              </a:graphicData>
            </a:graphic>
          </wp:inline>
        </w:drawing>
      </w: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cs="Times New Roman"/>
          <w:color w:val="3E3E3E"/>
          <w:kern w:val="0"/>
          <w:sz w:val="32"/>
          <w:szCs w:val="32"/>
        </w:rPr>
      </w:pPr>
    </w:p>
    <w:p>
      <w:pPr>
        <w:spacing w:line="360" w:lineRule="auto"/>
        <w:ind w:firstLine="360"/>
        <w:jc w:val="left"/>
        <w:rPr>
          <w:rFonts w:ascii="宋体" w:hAnsi="宋体" w:cs="宋体"/>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spacing w:line="360" w:lineRule="auto"/>
        <w:ind w:firstLine="645"/>
        <w:jc w:val="left"/>
        <w:rPr>
          <w:rFonts w:ascii="宋体" w:hAnsi="宋体" w:cs="宋体"/>
          <w:color w:val="3E3E3E"/>
          <w:kern w:val="0"/>
          <w:sz w:val="32"/>
          <w:szCs w:val="32"/>
        </w:rPr>
      </w:pPr>
      <w:r>
        <w:drawing>
          <wp:inline distT="0" distB="0" distL="114300" distR="114300">
            <wp:extent cx="5266055" cy="3573145"/>
            <wp:effectExtent l="0" t="0" r="10795" b="825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1"/>
                    <a:stretch>
                      <a:fillRect/>
                    </a:stretch>
                  </pic:blipFill>
                  <pic:spPr>
                    <a:xfrm>
                      <a:off x="0" y="0"/>
                      <a:ext cx="5266055" cy="3573145"/>
                    </a:xfrm>
                    <a:prstGeom prst="rect">
                      <a:avLst/>
                    </a:prstGeom>
                    <a:noFill/>
                    <a:ln>
                      <a:noFill/>
                    </a:ln>
                  </pic:spPr>
                </pic:pic>
              </a:graphicData>
            </a:graphic>
          </wp:inline>
        </w:drawing>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一、</w:t>
      </w:r>
      <w:r>
        <w:rPr>
          <w:rFonts w:hint="eastAsia" w:ascii="宋体" w:hAnsi="宋体" w:cs="宋体"/>
          <w:b/>
          <w:bCs/>
          <w:color w:val="3E3E3E"/>
          <w:kern w:val="0"/>
          <w:sz w:val="32"/>
          <w:szCs w:val="32"/>
          <w:lang w:eastAsia="zh-CN"/>
        </w:rPr>
        <w:t>2023</w:t>
      </w:r>
      <w:r>
        <w:rPr>
          <w:rFonts w:hint="eastAsia" w:ascii="宋体" w:hAnsi="宋体" w:cs="宋体"/>
          <w:b/>
          <w:bCs/>
          <w:color w:val="3E3E3E"/>
          <w:kern w:val="0"/>
          <w:sz w:val="32"/>
          <w:szCs w:val="32"/>
        </w:rPr>
        <w:t>年财政拨款收支说明</w:t>
      </w:r>
    </w:p>
    <w:p>
      <w:pPr>
        <w:widowControl/>
        <w:spacing w:before="100" w:beforeAutospacing="1" w:after="100" w:afterAutospacing="1" w:line="360" w:lineRule="auto"/>
        <w:jc w:val="left"/>
        <w:rPr>
          <w:rFonts w:ascii="宋体" w:hAnsi="宋体" w:cs="宋体"/>
          <w:color w:val="3E3E3E"/>
          <w:kern w:val="0"/>
          <w:sz w:val="32"/>
          <w:szCs w:val="32"/>
        </w:rPr>
      </w:pP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w:t>
      </w:r>
      <w:r>
        <w:rPr>
          <w:rFonts w:ascii="宋体" w:cs="宋体"/>
          <w:color w:val="3E3E3E"/>
          <w:kern w:val="0"/>
          <w:sz w:val="32"/>
          <w:szCs w:val="32"/>
        </w:rPr>
        <w:t>,</w:t>
      </w:r>
    </w:p>
    <w:p>
      <w:pPr>
        <w:widowControl/>
        <w:spacing w:before="100" w:beforeAutospacing="1" w:after="100" w:afterAutospacing="1" w:line="360" w:lineRule="auto"/>
        <w:jc w:val="left"/>
        <w:rPr>
          <w:rFonts w:ascii="宋体" w:cs="宋体"/>
          <w:color w:val="3E3E3E"/>
          <w:kern w:val="0"/>
          <w:sz w:val="32"/>
          <w:szCs w:val="32"/>
        </w:rPr>
      </w:pPr>
      <w:r>
        <w:rPr>
          <w:rFonts w:hint="eastAsia" w:ascii="宋体" w:hAnsi="宋体" w:cs="宋体"/>
          <w:color w:val="3E3E3E"/>
          <w:kern w:val="0"/>
          <w:sz w:val="32"/>
          <w:szCs w:val="32"/>
        </w:rPr>
        <w:t>收入合计</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w:t>
      </w:r>
      <w:r>
        <w:rPr>
          <w:rFonts w:ascii="宋体" w:cs="宋体"/>
          <w:color w:val="3E3E3E"/>
          <w:kern w:val="0"/>
          <w:sz w:val="32"/>
          <w:szCs w:val="32"/>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344.57</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8.74</w:t>
      </w:r>
      <w:r>
        <w:rPr>
          <w:rFonts w:hint="eastAsia" w:ascii="宋体" w:hAnsi="宋体" w:cs="宋体"/>
          <w:color w:val="3E3E3E"/>
          <w:kern w:val="0"/>
          <w:sz w:val="32"/>
          <w:szCs w:val="32"/>
        </w:rPr>
        <w:t>万元。</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二、一般公共预算支出表说明</w:t>
      </w:r>
    </w:p>
    <w:p>
      <w:pPr>
        <w:widowControl/>
        <w:spacing w:before="100" w:beforeAutospacing="1" w:after="100" w:afterAutospacing="1" w:line="360" w:lineRule="auto"/>
        <w:ind w:firstLine="636"/>
        <w:jc w:val="left"/>
        <w:rPr>
          <w:rFonts w:ascii="宋体" w:hAnsi="宋体" w:cs="宋体"/>
          <w:color w:val="3E3E3E"/>
          <w:kern w:val="0"/>
          <w:sz w:val="32"/>
          <w:szCs w:val="32"/>
        </w:rPr>
      </w:pPr>
      <w:r>
        <w:rPr>
          <w:rFonts w:hint="eastAsia" w:ascii="宋体" w:hAnsi="宋体" w:cs="宋体"/>
          <w:color w:val="3E3E3E"/>
          <w:kern w:val="0"/>
          <w:sz w:val="32"/>
          <w:szCs w:val="32"/>
        </w:rPr>
        <w:t>一般公共服务支出</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万元，行政运行</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318.88</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hAnsi="宋体" w:cs="宋体"/>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25.69</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3.医疗保险</w:t>
      </w:r>
      <w:r>
        <w:rPr>
          <w:rFonts w:hint="eastAsia" w:ascii="宋体" w:hAnsi="宋体" w:cs="宋体"/>
          <w:color w:val="3E3E3E"/>
          <w:kern w:val="0"/>
          <w:sz w:val="32"/>
          <w:szCs w:val="32"/>
          <w:lang w:val="en-US" w:eastAsia="zh-CN"/>
        </w:rPr>
        <w:t>18.09</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4.养老保险</w:t>
      </w:r>
      <w:r>
        <w:rPr>
          <w:rFonts w:hint="eastAsia" w:ascii="宋体" w:hAnsi="宋体" w:cs="宋体"/>
          <w:color w:val="3E3E3E"/>
          <w:kern w:val="0"/>
          <w:sz w:val="32"/>
          <w:szCs w:val="32"/>
          <w:lang w:val="en-US" w:eastAsia="zh-CN"/>
        </w:rPr>
        <w:t>20.36</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5工伤保险</w:t>
      </w:r>
      <w:r>
        <w:rPr>
          <w:rFonts w:hint="eastAsia" w:ascii="宋体" w:hAnsi="宋体" w:cs="宋体"/>
          <w:color w:val="3E3E3E"/>
          <w:kern w:val="0"/>
          <w:sz w:val="32"/>
          <w:szCs w:val="32"/>
          <w:lang w:val="en-US" w:eastAsia="zh-CN"/>
        </w:rPr>
        <w:t>0.5</w:t>
      </w:r>
      <w:r>
        <w:rPr>
          <w:rFonts w:hint="eastAsia" w:ascii="宋体" w:hAnsi="宋体" w:cs="宋体"/>
          <w:color w:val="3E3E3E"/>
          <w:kern w:val="0"/>
          <w:sz w:val="32"/>
          <w:szCs w:val="32"/>
        </w:rPr>
        <w:t>万元</w:t>
      </w:r>
    </w:p>
    <w:p>
      <w:pPr>
        <w:widowControl/>
        <w:spacing w:before="100" w:beforeAutospacing="1" w:after="100" w:afterAutospacing="1" w:line="360" w:lineRule="auto"/>
        <w:ind w:firstLine="960" w:firstLineChars="3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344.57</w:t>
      </w:r>
      <w:r>
        <w:rPr>
          <w:rFonts w:hint="eastAsia" w:ascii="宋体" w:hAnsi="宋体" w:cs="宋体"/>
          <w:color w:val="3E3E3E"/>
          <w:kern w:val="0"/>
          <w:sz w:val="32"/>
          <w:szCs w:val="32"/>
        </w:rPr>
        <w:t>万元。</w:t>
      </w: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四、</w:t>
      </w:r>
      <w:r>
        <w:rPr>
          <w:rFonts w:hint="eastAsia" w:ascii="宋体" w:hAnsi="宋体" w:cs="宋体"/>
          <w:b/>
          <w:bCs/>
          <w:color w:val="3E3E3E"/>
          <w:kern w:val="0"/>
          <w:sz w:val="32"/>
          <w:szCs w:val="32"/>
          <w:lang w:eastAsia="zh-CN"/>
        </w:rPr>
        <w:t>2023</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经费预算数0万元，同比下降0</w:t>
      </w:r>
      <w:r>
        <w:rPr>
          <w:rFonts w:ascii="宋体" w:hAnsi="宋体" w:cs="宋体"/>
          <w:color w:val="3E3E3E"/>
          <w:kern w:val="0"/>
          <w:sz w:val="32"/>
          <w:szCs w:val="32"/>
        </w:rPr>
        <w:t>%</w:t>
      </w:r>
      <w:r>
        <w:rPr>
          <w:rFonts w:hint="eastAsia" w:ascii="宋体" w:hAnsi="宋体" w:cs="宋体"/>
          <w:color w:val="3E3E3E"/>
          <w:kern w:val="0"/>
          <w:sz w:val="32"/>
          <w:szCs w:val="32"/>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其中</w:t>
      </w:r>
      <w:r>
        <w:rPr>
          <w:rFonts w:ascii="宋体" w:hAnsi="宋体" w:cs="宋体"/>
          <w:color w:val="3E3E3E"/>
          <w:kern w:val="0"/>
          <w:sz w:val="32"/>
          <w:szCs w:val="32"/>
        </w:rPr>
        <w:t>1</w:t>
      </w:r>
      <w:r>
        <w:rPr>
          <w:rFonts w:hint="eastAsia" w:ascii="宋体" w:hAnsi="宋体" w:cs="宋体"/>
          <w:color w:val="3E3E3E"/>
          <w:kern w:val="0"/>
          <w:sz w:val="32"/>
          <w:szCs w:val="32"/>
        </w:rPr>
        <w:t>、公务用车费0万元，同比下降0</w:t>
      </w:r>
      <w:r>
        <w:rPr>
          <w:rFonts w:ascii="宋体" w:hAnsi="宋体" w:cs="宋体"/>
          <w:color w:val="3E3E3E"/>
          <w:kern w:val="0"/>
          <w:sz w:val="32"/>
          <w:szCs w:val="32"/>
        </w:rPr>
        <w:t>%</w:t>
      </w:r>
      <w:r>
        <w:rPr>
          <w:rFonts w:hint="eastAsia" w:ascii="宋体" w:hAnsi="宋体" w:cs="宋体"/>
          <w:color w:val="3E3E3E"/>
          <w:kern w:val="0"/>
          <w:sz w:val="32"/>
          <w:szCs w:val="32"/>
        </w:rPr>
        <w:t>。</w:t>
      </w:r>
    </w:p>
    <w:p>
      <w:pPr>
        <w:spacing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w:t>
      </w:r>
      <w:r>
        <w:rPr>
          <w:rFonts w:hint="eastAsia" w:ascii="宋体" w:hAnsi="宋体" w:cs="宋体"/>
          <w:color w:val="3E3E3E"/>
          <w:kern w:val="0"/>
          <w:sz w:val="32"/>
          <w:szCs w:val="32"/>
        </w:rPr>
        <w:t>、公务接待费0万元，同比下降0</w:t>
      </w:r>
      <w:r>
        <w:rPr>
          <w:rFonts w:ascii="宋体" w:hAnsi="宋体" w:cs="宋体"/>
          <w:color w:val="3E3E3E"/>
          <w:kern w:val="0"/>
          <w:sz w:val="32"/>
          <w:szCs w:val="32"/>
        </w:rPr>
        <w:t>%</w:t>
      </w:r>
      <w:r>
        <w:rPr>
          <w:rFonts w:hint="eastAsia" w:ascii="宋体" w:hAnsi="宋体" w:cs="宋体"/>
          <w:color w:val="3E3E3E"/>
          <w:kern w:val="0"/>
          <w:sz w:val="32"/>
          <w:szCs w:val="32"/>
        </w:rPr>
        <w:t>。</w:t>
      </w:r>
    </w:p>
    <w:p>
      <w:pPr>
        <w:autoSpaceDE w:val="0"/>
        <w:autoSpaceDN w:val="0"/>
        <w:adjustRightInd w:val="0"/>
        <w:ind w:firstLine="640" w:firstLineChars="200"/>
        <w:jc w:val="left"/>
        <w:rPr>
          <w:rFonts w:ascii="宋体" w:cs="Times New Roman"/>
          <w:color w:val="3E3E3E"/>
          <w:kern w:val="0"/>
          <w:sz w:val="32"/>
          <w:szCs w:val="32"/>
        </w:rPr>
      </w:pPr>
    </w:p>
    <w:p>
      <w:pPr>
        <w:autoSpaceDE w:val="0"/>
        <w:autoSpaceDN w:val="0"/>
        <w:adjustRightInd w:val="0"/>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五、政府性基金预算说明</w:t>
      </w:r>
    </w:p>
    <w:p>
      <w:pPr>
        <w:autoSpaceDE w:val="0"/>
        <w:autoSpaceDN w:val="0"/>
        <w:adjustRightInd w:val="0"/>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长春市二道区委编办无政府性基金预算，故此表数值为空。</w:t>
      </w:r>
    </w:p>
    <w:p>
      <w:pPr>
        <w:autoSpaceDE w:val="0"/>
        <w:autoSpaceDN w:val="0"/>
        <w:adjustRightInd w:val="0"/>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六、部门收支表说明</w:t>
      </w:r>
    </w:p>
    <w:p>
      <w:pPr>
        <w:autoSpaceDE w:val="0"/>
        <w:autoSpaceDN w:val="0"/>
        <w:adjustRightInd w:val="0"/>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区委编办</w:t>
      </w: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年总收入</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万元，政府性基金0万元。</w:t>
      </w:r>
    </w:p>
    <w:p>
      <w:pPr>
        <w:autoSpaceDE w:val="0"/>
        <w:autoSpaceDN w:val="0"/>
        <w:adjustRightInd w:val="0"/>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一般公共服务支出</w:t>
      </w:r>
      <w:r>
        <w:rPr>
          <w:rFonts w:hint="eastAsia" w:ascii="宋体" w:hAnsi="宋体" w:cs="宋体"/>
          <w:color w:val="3E3E3E"/>
          <w:kern w:val="0"/>
          <w:sz w:val="32"/>
          <w:szCs w:val="32"/>
          <w:lang w:val="en-US" w:eastAsia="zh-CN"/>
        </w:rPr>
        <w:t>344.57</w:t>
      </w:r>
      <w:r>
        <w:rPr>
          <w:rFonts w:hint="eastAsia" w:ascii="宋体" w:hAnsi="宋体" w:cs="宋体"/>
          <w:color w:val="3E3E3E"/>
          <w:kern w:val="0"/>
          <w:sz w:val="32"/>
          <w:szCs w:val="32"/>
        </w:rPr>
        <w:t>元，项目支出</w:t>
      </w:r>
      <w:r>
        <w:rPr>
          <w:rFonts w:hint="eastAsia" w:ascii="宋体" w:hAnsi="宋体" w:cs="宋体"/>
          <w:color w:val="3E3E3E"/>
          <w:kern w:val="0"/>
          <w:sz w:val="32"/>
          <w:szCs w:val="32"/>
          <w:lang w:val="en-US" w:eastAsia="zh-CN"/>
        </w:rPr>
        <w:t>8.74</w:t>
      </w:r>
      <w:r>
        <w:rPr>
          <w:rFonts w:hint="eastAsia" w:ascii="宋体" w:hAnsi="宋体" w:cs="宋体"/>
          <w:color w:val="3E3E3E"/>
          <w:kern w:val="0"/>
          <w:sz w:val="32"/>
          <w:szCs w:val="32"/>
        </w:rPr>
        <w:t>万元。</w:t>
      </w:r>
    </w:p>
    <w:p>
      <w:pPr>
        <w:autoSpaceDE w:val="0"/>
        <w:autoSpaceDN w:val="0"/>
        <w:adjustRightInd w:val="0"/>
        <w:ind w:firstLine="643" w:firstLineChars="200"/>
        <w:jc w:val="left"/>
        <w:rPr>
          <w:rFonts w:ascii="宋体" w:cs="Times New Roman"/>
          <w:b/>
          <w:bCs/>
          <w:color w:val="3E3E3E"/>
          <w:kern w:val="0"/>
          <w:sz w:val="32"/>
          <w:szCs w:val="32"/>
        </w:rPr>
      </w:pPr>
      <w:r>
        <w:rPr>
          <w:rFonts w:hint="eastAsia" w:ascii="宋体" w:hAnsi="宋体" w:cs="宋体"/>
          <w:b/>
          <w:bCs/>
          <w:color w:val="3E3E3E"/>
          <w:kern w:val="0"/>
          <w:sz w:val="32"/>
          <w:szCs w:val="32"/>
        </w:rPr>
        <w:t>七、部门收入总表情况</w:t>
      </w:r>
    </w:p>
    <w:p>
      <w:pPr>
        <w:autoSpaceDE w:val="0"/>
        <w:autoSpaceDN w:val="0"/>
        <w:adjustRightInd w:val="0"/>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长春市二道区委编办总收入</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w:t>
      </w:r>
    </w:p>
    <w:p>
      <w:pPr>
        <w:autoSpaceDE w:val="0"/>
        <w:autoSpaceDN w:val="0"/>
        <w:adjustRightInd w:val="0"/>
        <w:ind w:firstLine="643" w:firstLineChars="200"/>
        <w:jc w:val="left"/>
        <w:rPr>
          <w:rFonts w:ascii="宋体" w:cs="Times New Roman"/>
          <w:color w:val="3E3E3E"/>
          <w:kern w:val="0"/>
          <w:sz w:val="32"/>
          <w:szCs w:val="32"/>
        </w:rPr>
      </w:pPr>
      <w:r>
        <w:rPr>
          <w:rFonts w:hint="eastAsia" w:ascii="宋体" w:hAnsi="宋体" w:cs="宋体"/>
          <w:b/>
          <w:bCs/>
          <w:color w:val="3E3E3E"/>
          <w:kern w:val="0"/>
          <w:sz w:val="32"/>
          <w:szCs w:val="32"/>
        </w:rPr>
        <w:t>八、部门支出总表情况</w:t>
      </w:r>
    </w:p>
    <w:p>
      <w:pPr>
        <w:autoSpaceDE w:val="0"/>
        <w:autoSpaceDN w:val="0"/>
        <w:adjustRightInd w:val="0"/>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344.57</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8.74</w:t>
      </w:r>
      <w:r>
        <w:rPr>
          <w:rFonts w:hint="eastAsia" w:ascii="宋体" w:hAnsi="宋体" w:cs="宋体"/>
          <w:color w:val="3E3E3E"/>
          <w:kern w:val="0"/>
          <w:sz w:val="32"/>
          <w:szCs w:val="32"/>
        </w:rPr>
        <w:t>万元。</w:t>
      </w:r>
    </w:p>
    <w:p>
      <w:pPr>
        <w:spacing w:line="500" w:lineRule="exact"/>
        <w:ind w:firstLine="643" w:firstLineChars="200"/>
        <w:jc w:val="left"/>
        <w:rPr>
          <w:rFonts w:ascii="宋体" w:cs="Times New Roman"/>
          <w:sz w:val="32"/>
          <w:szCs w:val="32"/>
        </w:rPr>
      </w:pPr>
      <w:r>
        <w:rPr>
          <w:rFonts w:hint="eastAsia" w:ascii="宋体" w:hAnsi="宋体" w:cs="宋体"/>
          <w:b/>
          <w:bCs/>
          <w:sz w:val="32"/>
          <w:szCs w:val="32"/>
        </w:rPr>
        <w:t>九、机关运行经费支出情况</w:t>
      </w:r>
    </w:p>
    <w:p>
      <w:pPr>
        <w:spacing w:line="500" w:lineRule="exact"/>
        <w:ind w:firstLine="960" w:firstLineChars="300"/>
        <w:jc w:val="left"/>
        <w:rPr>
          <w:rFonts w:ascii="宋体" w:hAnsi="宋体" w:cs="宋体"/>
          <w:color w:val="3E3E3E"/>
          <w:kern w:val="0"/>
          <w:sz w:val="32"/>
          <w:szCs w:val="32"/>
        </w:rPr>
      </w:pP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年二道区委编办机关运行经费财政拨款支出</w:t>
      </w:r>
      <w:r>
        <w:rPr>
          <w:rFonts w:hint="eastAsia" w:ascii="宋体" w:hAnsi="宋体" w:cs="宋体"/>
          <w:color w:val="3E3E3E"/>
          <w:kern w:val="0"/>
          <w:sz w:val="32"/>
          <w:szCs w:val="32"/>
          <w:lang w:val="en-US" w:eastAsia="zh-CN"/>
        </w:rPr>
        <w:t>353.31</w:t>
      </w:r>
      <w:r>
        <w:rPr>
          <w:rFonts w:hint="eastAsia" w:ascii="宋体" w:hAnsi="宋体" w:cs="宋体"/>
          <w:color w:val="3E3E3E"/>
          <w:kern w:val="0"/>
          <w:sz w:val="32"/>
          <w:szCs w:val="32"/>
        </w:rPr>
        <w:t>万元。</w:t>
      </w:r>
    </w:p>
    <w:p>
      <w:pPr>
        <w:spacing w:line="500" w:lineRule="exact"/>
        <w:ind w:firstLine="643" w:firstLineChars="200"/>
        <w:jc w:val="left"/>
        <w:rPr>
          <w:rFonts w:ascii="宋体" w:cs="Times New Roman"/>
          <w:b/>
          <w:bCs/>
          <w:sz w:val="32"/>
          <w:szCs w:val="32"/>
        </w:rPr>
      </w:pPr>
      <w:r>
        <w:rPr>
          <w:rFonts w:hint="eastAsia" w:ascii="宋体" w:hAnsi="宋体" w:cs="宋体"/>
          <w:b/>
          <w:bCs/>
          <w:sz w:val="32"/>
          <w:szCs w:val="32"/>
        </w:rPr>
        <w:t>十、政府采购支出情况</w:t>
      </w:r>
    </w:p>
    <w:p>
      <w:pPr>
        <w:spacing w:line="500" w:lineRule="exact"/>
        <w:ind w:firstLine="960" w:firstLineChars="300"/>
        <w:jc w:val="left"/>
        <w:rPr>
          <w:rFonts w:ascii="宋体" w:hAnsi="宋体" w:cs="宋体"/>
          <w:sz w:val="32"/>
          <w:szCs w:val="32"/>
        </w:rPr>
      </w:pPr>
      <w:r>
        <w:rPr>
          <w:rFonts w:hint="eastAsia" w:ascii="宋体" w:hAnsi="宋体" w:cs="宋体"/>
          <w:sz w:val="32"/>
          <w:szCs w:val="32"/>
        </w:rPr>
        <w:t>无政府采购项目</w:t>
      </w:r>
    </w:p>
    <w:p>
      <w:pPr>
        <w:spacing w:line="500" w:lineRule="exact"/>
        <w:ind w:firstLine="643" w:firstLineChars="200"/>
        <w:jc w:val="left"/>
        <w:rPr>
          <w:rFonts w:ascii="宋体" w:cs="Times New Roman"/>
          <w:sz w:val="32"/>
          <w:szCs w:val="32"/>
        </w:rPr>
      </w:pPr>
      <w:r>
        <w:rPr>
          <w:rFonts w:hint="eastAsia" w:ascii="宋体" w:hAnsi="宋体" w:cs="宋体"/>
          <w:b/>
          <w:bCs/>
          <w:sz w:val="32"/>
          <w:szCs w:val="32"/>
        </w:rPr>
        <w:t>十一、国有资产占用情况</w:t>
      </w:r>
    </w:p>
    <w:p>
      <w:pPr>
        <w:spacing w:line="500" w:lineRule="exact"/>
        <w:ind w:firstLine="640" w:firstLineChars="200"/>
        <w:jc w:val="left"/>
        <w:rPr>
          <w:rFonts w:ascii="宋体" w:hAnsi="宋体" w:cs="宋体"/>
          <w:color w:val="3E3E3E"/>
          <w:kern w:val="0"/>
          <w:sz w:val="32"/>
          <w:szCs w:val="32"/>
        </w:rPr>
      </w:pPr>
      <w:r>
        <w:rPr>
          <w:rFonts w:hint="eastAsia" w:ascii="宋体" w:hAnsi="宋体" w:cs="宋体"/>
          <w:color w:val="3E3E3E"/>
          <w:kern w:val="0"/>
          <w:sz w:val="32"/>
          <w:szCs w:val="32"/>
          <w:lang w:eastAsia="zh-CN"/>
        </w:rPr>
        <w:t>2023</w:t>
      </w:r>
      <w:r>
        <w:rPr>
          <w:rFonts w:hint="eastAsia" w:ascii="宋体" w:hAnsi="宋体" w:cs="宋体"/>
          <w:color w:val="3E3E3E"/>
          <w:kern w:val="0"/>
          <w:sz w:val="32"/>
          <w:szCs w:val="32"/>
        </w:rPr>
        <w:t>年长春市二道区委编办，车辆数量为0。</w:t>
      </w:r>
    </w:p>
    <w:p>
      <w:pPr>
        <w:numPr>
          <w:ilvl w:val="0"/>
          <w:numId w:val="1"/>
        </w:numPr>
        <w:spacing w:line="500" w:lineRule="exact"/>
        <w:ind w:firstLine="803" w:firstLineChars="250"/>
        <w:jc w:val="left"/>
        <w:rPr>
          <w:rFonts w:ascii="宋体" w:hAnsi="宋体" w:cs="宋体"/>
          <w:b/>
          <w:bCs/>
          <w:sz w:val="32"/>
          <w:szCs w:val="32"/>
        </w:rPr>
      </w:pPr>
      <w:r>
        <w:rPr>
          <w:rFonts w:hint="eastAsia" w:ascii="宋体" w:hAnsi="宋体" w:cs="宋体"/>
          <w:b/>
          <w:bCs/>
          <w:sz w:val="32"/>
          <w:szCs w:val="32"/>
        </w:rPr>
        <w:t>预算绩效情况</w:t>
      </w:r>
    </w:p>
    <w:p>
      <w:pPr>
        <w:spacing w:line="500" w:lineRule="exact"/>
        <w:ind w:firstLine="640" w:firstLineChars="200"/>
        <w:jc w:val="left"/>
        <w:rPr>
          <w:rFonts w:ascii="宋体" w:cs="Times New Roman"/>
          <w:color w:val="3E3E3E"/>
          <w:kern w:val="0"/>
          <w:sz w:val="32"/>
          <w:szCs w:val="32"/>
        </w:rPr>
      </w:pPr>
      <w:r>
        <w:rPr>
          <w:rFonts w:hint="eastAsia" w:ascii="宋体" w:cs="Times New Roman"/>
          <w:color w:val="3E3E3E"/>
          <w:kern w:val="0"/>
          <w:sz w:val="32"/>
          <w:szCs w:val="32"/>
        </w:rPr>
        <w:t>无</w:t>
      </w: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财政拨款收入：指中央财政当年拨付的资金。</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事业收入：指事业单位开展专业业务活动及辅助活动所取得的收入。</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事业单位经营收入：指事业单位在专业业务活动及其辅助活动之外开展非独立核算经营活动取得的收入。</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其他收入：指除上述“财政拨款收入”、“事业收入”、“事业单位经营收入”等以外的收入。主要是按规定动用的售房收入、存款利息收入等。</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上年结转：指以前年度尚未完成，结转到本年仍按原规定用途继续使用的资金（预算中为预计数）。</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结转下年：指以前年度预算安排、因客观条件发生变化无法按原计划实施，需延迟到以后年度按原规定用途继续使用的资金（预算中为预计数）。</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基本支出：指为保障机构正常运转、完成日常工作任务而发生的人员支出和公用支出。</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项目支出：指在基本支出之外为完成特定行政任务和事业发展目标所发生的支出。</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事业单位经营支出：指事业单位在专业业务活动及其辅助活动之外开展非独立核算经营活动发生的支出。</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住房公积金（科目代码</w:t>
      </w:r>
      <w:r>
        <w:rPr>
          <w:rFonts w:ascii="宋体" w:hAnsi="宋体" w:cs="宋体"/>
          <w:kern w:val="0"/>
          <w:sz w:val="32"/>
          <w:szCs w:val="32"/>
        </w:rPr>
        <w:t>2210201</w:t>
      </w:r>
      <w:r>
        <w:rPr>
          <w:rFonts w:hint="eastAsia" w:ascii="宋体" w:hAnsi="宋体" w:cs="宋体"/>
          <w:kern w:val="0"/>
          <w:sz w:val="32"/>
          <w:szCs w:val="32"/>
        </w:rPr>
        <w:t>）：指按照《住房公积金管理条例》的规定，由单位及其在职职工缴存的长期住房储金。该项政策始于上世纪九十年代中期，在全国机关、企事业单位在职职工中普遍实施，缴存比例最低不低于</w:t>
      </w:r>
      <w:r>
        <w:rPr>
          <w:rFonts w:ascii="宋体" w:hAnsi="宋体" w:cs="宋体"/>
          <w:kern w:val="0"/>
          <w:sz w:val="32"/>
          <w:szCs w:val="32"/>
        </w:rPr>
        <w:t>5</w:t>
      </w:r>
      <w:r>
        <w:rPr>
          <w:rFonts w:hint="eastAsia" w:ascii="宋体" w:hAnsi="宋体" w:cs="宋体"/>
          <w:kern w:val="0"/>
          <w:sz w:val="32"/>
          <w:szCs w:val="32"/>
        </w:rPr>
        <w:t>％，最高不超过</w:t>
      </w:r>
      <w:r>
        <w:rPr>
          <w:rFonts w:ascii="宋体" w:hAnsi="宋体" w:cs="宋体"/>
          <w:kern w:val="0"/>
          <w:sz w:val="32"/>
          <w:szCs w:val="32"/>
        </w:rPr>
        <w:t>12</w:t>
      </w:r>
      <w:r>
        <w:rPr>
          <w:rFonts w:hint="eastAsia" w:ascii="宋体" w:hAnsi="宋体" w:cs="宋体"/>
          <w:kern w:val="0"/>
          <w:sz w:val="32"/>
          <w:szCs w:val="32"/>
        </w:rPr>
        <w:t>％，缴存基数为职工本人上年工资，目前已实施近</w:t>
      </w:r>
      <w:r>
        <w:rPr>
          <w:rFonts w:ascii="宋体" w:hAnsi="宋体" w:cs="宋体"/>
          <w:kern w:val="0"/>
          <w:sz w:val="32"/>
          <w:szCs w:val="32"/>
        </w:rPr>
        <w:t xml:space="preserve">20 </w:t>
      </w:r>
      <w:r>
        <w:rPr>
          <w:rFonts w:hint="eastAsia" w:ascii="宋体" w:hAnsi="宋体" w:cs="宋体"/>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提租补贴（科目代码</w:t>
      </w:r>
      <w:r>
        <w:rPr>
          <w:rFonts w:ascii="宋体" w:hAnsi="宋体" w:cs="宋体"/>
          <w:kern w:val="0"/>
          <w:sz w:val="32"/>
          <w:szCs w:val="32"/>
        </w:rPr>
        <w:t>2210202</w:t>
      </w:r>
      <w:r>
        <w:rPr>
          <w:rFonts w:hint="eastAsia" w:ascii="宋体" w:hAnsi="宋体" w:cs="宋体"/>
          <w:kern w:val="0"/>
          <w:sz w:val="32"/>
          <w:szCs w:val="32"/>
        </w:rPr>
        <w:t>）：指经国务院批准，于</w:t>
      </w:r>
      <w:r>
        <w:rPr>
          <w:rFonts w:ascii="宋体" w:hAnsi="宋体" w:cs="宋体"/>
          <w:kern w:val="0"/>
          <w:sz w:val="32"/>
          <w:szCs w:val="32"/>
        </w:rPr>
        <w:t xml:space="preserve">2000 </w:t>
      </w:r>
      <w:r>
        <w:rPr>
          <w:rFonts w:hint="eastAsia" w:ascii="宋体" w:hAnsi="宋体" w:cs="宋体"/>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hint="eastAsia" w:ascii="宋体" w:hAnsi="宋体" w:cs="宋体"/>
          <w:kern w:val="0"/>
          <w:sz w:val="32"/>
          <w:szCs w:val="32"/>
        </w:rPr>
        <w:t>元。</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购房补贴（科目代码</w:t>
      </w:r>
      <w:r>
        <w:rPr>
          <w:rFonts w:ascii="宋体" w:hAnsi="宋体" w:cs="宋体"/>
          <w:kern w:val="0"/>
          <w:sz w:val="32"/>
          <w:szCs w:val="32"/>
        </w:rPr>
        <w:t>2210203</w:t>
      </w:r>
      <w:r>
        <w:rPr>
          <w:rFonts w:hint="eastAsia" w:ascii="宋体" w:hAnsi="宋体" w:cs="宋体"/>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hint="eastAsia" w:ascii="宋体" w:hAnsi="宋体" w:cs="宋体"/>
          <w:kern w:val="0"/>
          <w:sz w:val="32"/>
          <w:szCs w:val="32"/>
        </w:rPr>
        <w:t>号）的规定，从</w:t>
      </w:r>
      <w:r>
        <w:rPr>
          <w:rFonts w:ascii="宋体" w:hAnsi="宋体" w:cs="宋体"/>
          <w:kern w:val="0"/>
          <w:sz w:val="32"/>
          <w:szCs w:val="32"/>
        </w:rPr>
        <w:t xml:space="preserve">1998 </w:t>
      </w:r>
      <w:r>
        <w:rPr>
          <w:rFonts w:hint="eastAsia" w:ascii="宋体" w:hAnsi="宋体" w:cs="宋体"/>
          <w:kern w:val="0"/>
          <w:sz w:val="32"/>
          <w:szCs w:val="32"/>
        </w:rPr>
        <w:t>年下半年停止实物分房后，房价收入比超过</w:t>
      </w:r>
      <w:r>
        <w:rPr>
          <w:rFonts w:ascii="宋体" w:hAnsi="宋体" w:cs="宋体"/>
          <w:kern w:val="0"/>
          <w:sz w:val="32"/>
          <w:szCs w:val="32"/>
        </w:rPr>
        <w:t xml:space="preserve">4 </w:t>
      </w:r>
      <w:r>
        <w:rPr>
          <w:rFonts w:hint="eastAsia" w:ascii="宋体" w:hAnsi="宋体" w:cs="宋体"/>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hint="eastAsia" w:ascii="宋体" w:hAnsi="宋体" w:cs="宋体"/>
          <w:kern w:val="0"/>
          <w:sz w:val="32"/>
          <w:szCs w:val="32"/>
        </w:rPr>
        <w:t>年开始发放购房补贴资金，地方行政事业单位从</w:t>
      </w:r>
      <w:r>
        <w:rPr>
          <w:rFonts w:ascii="宋体" w:hAnsi="宋体" w:cs="宋体"/>
          <w:kern w:val="0"/>
          <w:sz w:val="32"/>
          <w:szCs w:val="32"/>
        </w:rPr>
        <w:t xml:space="preserve">1999 </w:t>
      </w:r>
      <w:r>
        <w:rPr>
          <w:rFonts w:hint="eastAsia" w:ascii="宋体" w:hAnsi="宋体" w:cs="宋体"/>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hint="eastAsia" w:ascii="宋体" w:hAnsi="宋体" w:cs="宋体"/>
          <w:kern w:val="0"/>
          <w:sz w:val="32"/>
          <w:szCs w:val="32"/>
        </w:rPr>
        <w:t>关于完善在京中央和国家机关住房制度的若干意见</w:t>
      </w:r>
      <w:r>
        <w:rPr>
          <w:rFonts w:ascii="宋体" w:hAnsi="宋体" w:cs="宋体"/>
          <w:kern w:val="0"/>
          <w:sz w:val="32"/>
          <w:szCs w:val="32"/>
        </w:rPr>
        <w:t>&gt;</w:t>
      </w:r>
      <w:r>
        <w:rPr>
          <w:rFonts w:hint="eastAsia" w:ascii="宋体" w:hAnsi="宋体" w:cs="宋体"/>
          <w:kern w:val="0"/>
          <w:sz w:val="32"/>
          <w:szCs w:val="32"/>
        </w:rPr>
        <w:t>的通知》（厅字</w:t>
      </w:r>
      <w:r>
        <w:rPr>
          <w:rFonts w:ascii="宋体" w:hAnsi="宋体" w:cs="宋体"/>
          <w:kern w:val="0"/>
          <w:sz w:val="32"/>
          <w:szCs w:val="32"/>
        </w:rPr>
        <w:t xml:space="preserve">[2005]8 </w:t>
      </w:r>
      <w:r>
        <w:rPr>
          <w:rFonts w:hint="eastAsia" w:ascii="宋体" w:hAnsi="宋体" w:cs="宋体"/>
          <w:kern w:val="0"/>
          <w:sz w:val="32"/>
          <w:szCs w:val="32"/>
        </w:rPr>
        <w:t>号）规定的标准执行，京外中央单位按照所在地人民政府住房分配货币化改革的政策规定和标准执行。</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autoSpaceDE w:val="0"/>
        <w:autoSpaceDN w:val="0"/>
        <w:adjustRightInd w:val="0"/>
        <w:rPr>
          <w:rFonts w:ascii="宋体" w:cs="Times New Roman"/>
          <w:kern w:val="0"/>
          <w:sz w:val="32"/>
          <w:szCs w:val="32"/>
        </w:rPr>
      </w:pPr>
      <w:r>
        <w:rPr>
          <w:rFonts w:hint="eastAsia" w:ascii="宋体" w:hAnsi="宋体" w:cs="宋体"/>
          <w:kern w:val="0"/>
          <w:sz w:val="32"/>
          <w:szCs w:val="32"/>
        </w:rPr>
        <w:t>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AEE0A"/>
    <w:multiLevelType w:val="singleLevel"/>
    <w:tmpl w:val="97AAEE0A"/>
    <w:lvl w:ilvl="0" w:tentative="0">
      <w:start w:val="1"/>
      <w:numFmt w:val="chineseCounting"/>
      <w:suff w:val="nothing"/>
      <w:lvlText w:val="%1、"/>
      <w:lvlJc w:val="left"/>
      <w:pPr>
        <w:ind w:left="0" w:firstLine="420"/>
      </w:pPr>
      <w:rPr>
        <w:rFonts w:hint="eastAsia"/>
      </w:rPr>
    </w:lvl>
  </w:abstractNum>
  <w:abstractNum w:abstractNumId="1">
    <w:nsid w:val="C221BD15"/>
    <w:multiLevelType w:val="singleLevel"/>
    <w:tmpl w:val="C221BD15"/>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jI0MzJkYWY5NGVhNWUxZWVjZjRlNjk0MzkxZD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3F5625"/>
    <w:rsid w:val="00415BBF"/>
    <w:rsid w:val="00437D6A"/>
    <w:rsid w:val="004415A0"/>
    <w:rsid w:val="0050084A"/>
    <w:rsid w:val="00520680"/>
    <w:rsid w:val="005211A3"/>
    <w:rsid w:val="005238B0"/>
    <w:rsid w:val="0057123B"/>
    <w:rsid w:val="005759CD"/>
    <w:rsid w:val="005C178A"/>
    <w:rsid w:val="00606EE4"/>
    <w:rsid w:val="00614FF8"/>
    <w:rsid w:val="00626C72"/>
    <w:rsid w:val="0066668B"/>
    <w:rsid w:val="006B7561"/>
    <w:rsid w:val="006E2BEF"/>
    <w:rsid w:val="00720D92"/>
    <w:rsid w:val="00732B62"/>
    <w:rsid w:val="00762C61"/>
    <w:rsid w:val="00767A9F"/>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73121"/>
    <w:rsid w:val="00B80A2E"/>
    <w:rsid w:val="00C30AE4"/>
    <w:rsid w:val="00CC5F4E"/>
    <w:rsid w:val="00D00E9D"/>
    <w:rsid w:val="00D4224E"/>
    <w:rsid w:val="00D5067E"/>
    <w:rsid w:val="00D56901"/>
    <w:rsid w:val="00DC4B07"/>
    <w:rsid w:val="00DF2DDB"/>
    <w:rsid w:val="00E63DCC"/>
    <w:rsid w:val="00EB0DF0"/>
    <w:rsid w:val="00ED2B29"/>
    <w:rsid w:val="00F331A5"/>
    <w:rsid w:val="00F46C87"/>
    <w:rsid w:val="00F94E66"/>
    <w:rsid w:val="0621779F"/>
    <w:rsid w:val="07C51765"/>
    <w:rsid w:val="0D803AF2"/>
    <w:rsid w:val="13652E4F"/>
    <w:rsid w:val="13ED13E4"/>
    <w:rsid w:val="18406C8F"/>
    <w:rsid w:val="191562AF"/>
    <w:rsid w:val="1D0A46B3"/>
    <w:rsid w:val="1F682125"/>
    <w:rsid w:val="21301DD5"/>
    <w:rsid w:val="22057A5E"/>
    <w:rsid w:val="254C2FF9"/>
    <w:rsid w:val="33A16F2C"/>
    <w:rsid w:val="371769C9"/>
    <w:rsid w:val="3E1A5671"/>
    <w:rsid w:val="3E895E6B"/>
    <w:rsid w:val="40D810E0"/>
    <w:rsid w:val="51444915"/>
    <w:rsid w:val="53C42C27"/>
    <w:rsid w:val="56A8574D"/>
    <w:rsid w:val="56C41E5B"/>
    <w:rsid w:val="5D8D1AF1"/>
    <w:rsid w:val="66840D2A"/>
    <w:rsid w:val="6B9F7B09"/>
    <w:rsid w:val="6F977CAE"/>
    <w:rsid w:val="70DB4042"/>
    <w:rsid w:val="79EF291C"/>
    <w:rsid w:val="7BB63D67"/>
    <w:rsid w:val="7C6D7006"/>
    <w:rsid w:val="7E4D055C"/>
    <w:rsid w:val="7EC73BBA"/>
    <w:rsid w:val="7ED928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页眉 Char"/>
    <w:basedOn w:val="6"/>
    <w:link w:val="3"/>
    <w:semiHidden/>
    <w:qFormat/>
    <w:locked/>
    <w:uiPriority w:val="99"/>
    <w:rPr>
      <w:sz w:val="18"/>
      <w:szCs w:val="18"/>
    </w:rPr>
  </w:style>
  <w:style w:type="character" w:customStyle="1" w:styleId="8">
    <w:name w:val="页脚 Char"/>
    <w:basedOn w:val="6"/>
    <w:link w:val="2"/>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3845</Words>
  <Characters>4102</Characters>
  <Lines>35</Lines>
  <Paragraphs>9</Paragraphs>
  <TotalTime>3</TotalTime>
  <ScaleCrop>false</ScaleCrop>
  <LinksUpToDate>false</LinksUpToDate>
  <CharactersWithSpaces>4155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2022-08-09T02:54:00Z</dcterms:created>
  <dc:creator>a</dc:creator>
  <cp:lastModifiedBy>原来结局总是空</cp:lastModifiedBy>
  <dcterms:modified xsi:type="dcterms:W3CDTF">2023-01-09T02:25:01Z</dcterms:modified>
  <dc:title>2017年长春市工业和信息化局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83DDB5A974664FCBB4FE5A646C726FAC_13</vt:lpwstr>
  </property>
</Properties>
</file>