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3342843">
      <w:pPr>
        <w:rPr>
          <w:rFonts w:ascii="Times New Roman" w:hAnsi="Times New Roman"/>
        </w:rPr>
      </w:pPr>
    </w:p>
    <w:p w14:paraId="2935BBEC">
      <w:pPr>
        <w:pStyle w:val="8"/>
        <w:rPr>
          <w:rFonts w:ascii="Times New Roman" w:hAnsi="Times New Roman"/>
        </w:rPr>
      </w:pPr>
    </w:p>
    <w:p w14:paraId="527C86A9">
      <w:pPr>
        <w:jc w:val="center"/>
        <w:rPr>
          <w:rFonts w:ascii="Times New Roman" w:hAnsi="Times New Roman" w:eastAsia="仿宋" w:cs="Arial"/>
          <w:sz w:val="44"/>
          <w:szCs w:val="44"/>
          <w:highlight w:val="none"/>
        </w:rPr>
      </w:pPr>
    </w:p>
    <w:p w14:paraId="44A4C730">
      <w:pPr>
        <w:jc w:val="center"/>
        <w:rPr>
          <w:rFonts w:ascii="Times New Roman" w:hAnsi="Times New Roman" w:eastAsia="仿宋" w:cs="Arial"/>
          <w:sz w:val="44"/>
          <w:szCs w:val="44"/>
          <w:highlight w:val="none"/>
        </w:rPr>
      </w:pPr>
    </w:p>
    <w:p w14:paraId="73355D03">
      <w:pPr>
        <w:jc w:val="center"/>
        <w:rPr>
          <w:rFonts w:hint="eastAsia" w:ascii="Times New Roman" w:hAnsi="Times New Roman" w:eastAsia="方正小标宋简体" w:cs="方正小标宋简体"/>
          <w:sz w:val="44"/>
          <w:szCs w:val="44"/>
          <w:highlight w:val="none"/>
        </w:rPr>
      </w:pPr>
      <w:r>
        <w:rPr>
          <w:rFonts w:hint="eastAsia" w:ascii="Times New Roman" w:hAnsi="Times New Roman" w:eastAsia="方正小标宋简体" w:cs="方正小标宋简体"/>
          <w:sz w:val="44"/>
          <w:szCs w:val="44"/>
          <w:highlight w:val="none"/>
        </w:rPr>
        <w:t>202</w:t>
      </w:r>
      <w:r>
        <w:rPr>
          <w:rFonts w:hint="eastAsia" w:ascii="Times New Roman" w:hAnsi="Times New Roman" w:eastAsia="方正小标宋简体" w:cs="方正小标宋简体"/>
          <w:sz w:val="44"/>
          <w:szCs w:val="44"/>
          <w:highlight w:val="none"/>
          <w:lang w:val="en-US" w:eastAsia="zh-CN"/>
        </w:rPr>
        <w:t>5</w:t>
      </w:r>
      <w:r>
        <w:rPr>
          <w:rFonts w:hint="eastAsia" w:ascii="Times New Roman" w:hAnsi="Times New Roman" w:eastAsia="方正小标宋简体" w:cs="方正小标宋简体"/>
          <w:sz w:val="44"/>
          <w:szCs w:val="44"/>
          <w:highlight w:val="none"/>
        </w:rPr>
        <w:t>年度</w:t>
      </w:r>
    </w:p>
    <w:p w14:paraId="4EF4C902">
      <w:pPr>
        <w:jc w:val="center"/>
        <w:rPr>
          <w:rFonts w:hint="eastAsia" w:ascii="Times New Roman" w:hAnsi="Times New Roman" w:eastAsia="方正小标宋简体" w:cs="方正小标宋简体"/>
          <w:sz w:val="44"/>
          <w:szCs w:val="44"/>
          <w:highlight w:val="none"/>
        </w:rPr>
      </w:pPr>
      <w:r>
        <w:rPr>
          <w:rFonts w:hint="eastAsia" w:ascii="Times New Roman" w:hAnsi="Times New Roman" w:eastAsia="方正小标宋简体" w:cs="方正小标宋简体"/>
          <w:sz w:val="44"/>
          <w:szCs w:val="44"/>
          <w:highlight w:val="none"/>
          <w:lang w:eastAsia="zh-CN"/>
        </w:rPr>
        <w:t>长春市二道区财政局</w:t>
      </w:r>
      <w:r>
        <w:rPr>
          <w:rFonts w:hint="eastAsia" w:ascii="Times New Roman" w:hAnsi="Times New Roman" w:eastAsia="方正小标宋简体" w:cs="方正小标宋简体"/>
          <w:sz w:val="44"/>
          <w:szCs w:val="44"/>
          <w:highlight w:val="none"/>
        </w:rPr>
        <w:t>部门决算</w:t>
      </w:r>
    </w:p>
    <w:p w14:paraId="591C0EA8">
      <w:pPr>
        <w:jc w:val="center"/>
        <w:rPr>
          <w:rFonts w:hint="eastAsia" w:ascii="Times New Roman" w:hAnsi="Times New Roman" w:eastAsia="方正小标宋简体" w:cs="Arial"/>
          <w:sz w:val="44"/>
          <w:szCs w:val="44"/>
          <w:highlight w:val="none"/>
        </w:rPr>
      </w:pPr>
    </w:p>
    <w:p w14:paraId="2EA5041B">
      <w:pPr>
        <w:jc w:val="center"/>
        <w:rPr>
          <w:rFonts w:ascii="Times New Roman" w:hAnsi="Times New Roman" w:eastAsia="仿宋" w:cs="Arial"/>
          <w:sz w:val="44"/>
          <w:szCs w:val="44"/>
          <w:highlight w:val="none"/>
        </w:rPr>
      </w:pPr>
    </w:p>
    <w:p w14:paraId="61335D45">
      <w:pPr>
        <w:jc w:val="center"/>
        <w:rPr>
          <w:rFonts w:ascii="Times New Roman" w:hAnsi="Times New Roman" w:eastAsia="仿宋" w:cs="Arial"/>
          <w:sz w:val="44"/>
          <w:szCs w:val="44"/>
          <w:highlight w:val="none"/>
        </w:rPr>
      </w:pPr>
    </w:p>
    <w:p w14:paraId="6A2F9C6C">
      <w:pPr>
        <w:jc w:val="center"/>
        <w:rPr>
          <w:rFonts w:ascii="Times New Roman" w:hAnsi="Times New Roman" w:eastAsia="仿宋" w:cs="Arial"/>
          <w:sz w:val="44"/>
          <w:szCs w:val="44"/>
          <w:highlight w:val="none"/>
        </w:rPr>
      </w:pPr>
    </w:p>
    <w:p w14:paraId="6C47B8A4">
      <w:pPr>
        <w:jc w:val="center"/>
        <w:rPr>
          <w:rFonts w:ascii="Times New Roman" w:hAnsi="Times New Roman" w:eastAsia="仿宋" w:cs="Arial"/>
          <w:sz w:val="44"/>
          <w:szCs w:val="44"/>
          <w:highlight w:val="none"/>
        </w:rPr>
      </w:pPr>
    </w:p>
    <w:p w14:paraId="546C1AA6">
      <w:pPr>
        <w:jc w:val="center"/>
        <w:rPr>
          <w:rFonts w:ascii="Times New Roman" w:hAnsi="Times New Roman" w:eastAsia="仿宋" w:cs="Arial"/>
          <w:sz w:val="44"/>
          <w:szCs w:val="44"/>
          <w:highlight w:val="none"/>
        </w:rPr>
      </w:pPr>
    </w:p>
    <w:p w14:paraId="1F8E333A">
      <w:pPr>
        <w:jc w:val="center"/>
        <w:rPr>
          <w:rFonts w:ascii="Times New Roman" w:hAnsi="Times New Roman" w:eastAsia="仿宋" w:cs="Arial"/>
          <w:sz w:val="44"/>
          <w:szCs w:val="44"/>
          <w:highlight w:val="none"/>
        </w:rPr>
      </w:pPr>
    </w:p>
    <w:p w14:paraId="23F28010">
      <w:pPr>
        <w:jc w:val="center"/>
        <w:rPr>
          <w:rFonts w:ascii="Times New Roman" w:hAnsi="Times New Roman" w:eastAsia="仿宋" w:cs="Arial"/>
          <w:sz w:val="44"/>
          <w:szCs w:val="44"/>
          <w:highlight w:val="none"/>
        </w:rPr>
      </w:pPr>
    </w:p>
    <w:p w14:paraId="17DA53E3">
      <w:pPr>
        <w:jc w:val="center"/>
        <w:rPr>
          <w:rFonts w:ascii="Times New Roman" w:hAnsi="Times New Roman" w:eastAsia="仿宋" w:cs="Arial"/>
          <w:sz w:val="44"/>
          <w:szCs w:val="44"/>
          <w:highlight w:val="none"/>
        </w:rPr>
      </w:pPr>
    </w:p>
    <w:p w14:paraId="33646228">
      <w:pPr>
        <w:jc w:val="center"/>
        <w:rPr>
          <w:rFonts w:ascii="Times New Roman" w:hAnsi="Times New Roman" w:eastAsia="仿宋" w:cs="Arial"/>
          <w:sz w:val="44"/>
          <w:szCs w:val="44"/>
          <w:highlight w:val="none"/>
        </w:rPr>
      </w:pPr>
    </w:p>
    <w:p w14:paraId="7791351A">
      <w:pPr>
        <w:jc w:val="center"/>
        <w:rPr>
          <w:rFonts w:ascii="Times New Roman" w:hAnsi="Times New Roman" w:eastAsia="仿宋" w:cs="Arial"/>
          <w:sz w:val="44"/>
          <w:szCs w:val="44"/>
          <w:highlight w:val="none"/>
        </w:rPr>
      </w:pPr>
    </w:p>
    <w:p w14:paraId="6E5B7BC3">
      <w:pPr>
        <w:jc w:val="center"/>
        <w:rPr>
          <w:rFonts w:ascii="Times New Roman" w:hAnsi="Times New Roman" w:eastAsia="仿宋" w:cs="Arial"/>
          <w:sz w:val="44"/>
          <w:szCs w:val="44"/>
          <w:highlight w:val="none"/>
        </w:rPr>
      </w:pPr>
    </w:p>
    <w:p w14:paraId="0CDB326F">
      <w:pPr>
        <w:jc w:val="center"/>
        <w:rPr>
          <w:rFonts w:ascii="Times New Roman" w:hAnsi="Times New Roman" w:eastAsia="仿宋" w:cs="Arial"/>
          <w:sz w:val="32"/>
          <w:szCs w:val="32"/>
          <w:highlight w:val="none"/>
        </w:rPr>
      </w:pPr>
      <w:r>
        <w:rPr>
          <w:rFonts w:ascii="Times New Roman" w:hAnsi="Times New Roman" w:eastAsia="仿宋" w:cs="Arial"/>
          <w:sz w:val="32"/>
          <w:szCs w:val="32"/>
          <w:highlight w:val="none"/>
        </w:rPr>
        <w:t>202</w:t>
      </w:r>
      <w:r>
        <w:rPr>
          <w:rFonts w:hint="eastAsia" w:ascii="Times New Roman" w:hAnsi="Times New Roman" w:eastAsia="仿宋" w:cs="Arial"/>
          <w:sz w:val="32"/>
          <w:szCs w:val="32"/>
          <w:highlight w:val="none"/>
          <w:lang w:val="en-US" w:eastAsia="zh-CN"/>
        </w:rPr>
        <w:t>6</w:t>
      </w:r>
      <w:r>
        <w:rPr>
          <w:rFonts w:hint="eastAsia" w:ascii="Times New Roman" w:hAnsi="Times New Roman" w:eastAsia="仿宋" w:cs="Arial"/>
          <w:sz w:val="32"/>
          <w:szCs w:val="32"/>
          <w:highlight w:val="none"/>
        </w:rPr>
        <w:t>年</w:t>
      </w:r>
      <w:r>
        <w:rPr>
          <w:rFonts w:hint="eastAsia" w:ascii="Times New Roman" w:hAnsi="Times New Roman" w:eastAsia="仿宋" w:cs="Arial"/>
          <w:color w:val="auto"/>
          <w:sz w:val="32"/>
          <w:szCs w:val="32"/>
          <w:highlight w:val="none"/>
          <w:lang w:val="en-US" w:eastAsia="zh-CN"/>
        </w:rPr>
        <w:t>10</w:t>
      </w:r>
      <w:r>
        <w:rPr>
          <w:rFonts w:hint="eastAsia" w:ascii="Times New Roman" w:hAnsi="Times New Roman" w:eastAsia="仿宋" w:cs="Arial"/>
          <w:color w:val="auto"/>
          <w:sz w:val="32"/>
          <w:szCs w:val="32"/>
          <w:highlight w:val="none"/>
        </w:rPr>
        <w:t>月</w:t>
      </w:r>
      <w:r>
        <w:rPr>
          <w:rFonts w:hint="eastAsia" w:ascii="Times New Roman" w:hAnsi="Times New Roman" w:eastAsia="仿宋" w:cs="Arial"/>
          <w:color w:val="auto"/>
          <w:sz w:val="32"/>
          <w:szCs w:val="32"/>
          <w:highlight w:val="none"/>
          <w:lang w:val="en-US" w:eastAsia="zh-CN"/>
        </w:rPr>
        <w:t>28</w:t>
      </w:r>
      <w:r>
        <w:rPr>
          <w:rFonts w:hint="eastAsia" w:ascii="Times New Roman" w:hAnsi="Times New Roman" w:eastAsia="仿宋" w:cs="Arial"/>
          <w:color w:val="auto"/>
          <w:sz w:val="32"/>
          <w:szCs w:val="32"/>
          <w:highlight w:val="none"/>
        </w:rPr>
        <w:t>日</w:t>
      </w:r>
    </w:p>
    <w:p w14:paraId="23FB4A94">
      <w:pPr>
        <w:jc w:val="center"/>
        <w:rPr>
          <w:rFonts w:ascii="Times New Roman" w:hAnsi="Times New Roman" w:eastAsia="仿宋" w:cs="Arial"/>
          <w:sz w:val="44"/>
          <w:szCs w:val="44"/>
          <w:highlight w:val="none"/>
        </w:rPr>
      </w:pPr>
    </w:p>
    <w:p w14:paraId="2A2EAA04">
      <w:pPr>
        <w:jc w:val="center"/>
        <w:rPr>
          <w:rFonts w:ascii="Times New Roman" w:hAnsi="Times New Roman" w:eastAsia="仿宋" w:cs="Arial"/>
          <w:sz w:val="44"/>
          <w:szCs w:val="44"/>
          <w:highlight w:val="none"/>
        </w:rPr>
      </w:pPr>
    </w:p>
    <w:p w14:paraId="5D38E086">
      <w:pPr>
        <w:jc w:val="center"/>
        <w:rPr>
          <w:rFonts w:ascii="Times New Roman" w:hAnsi="Times New Roman" w:eastAsia="仿宋" w:cs="Arial"/>
          <w:sz w:val="44"/>
          <w:szCs w:val="44"/>
          <w:highlight w:val="none"/>
        </w:rPr>
      </w:pPr>
    </w:p>
    <w:p w14:paraId="627902EC">
      <w:pPr>
        <w:jc w:val="center"/>
        <w:rPr>
          <w:rFonts w:ascii="Times New Roman" w:hAnsi="Times New Roman" w:eastAsia="仿宋"/>
          <w:sz w:val="32"/>
          <w:highlight w:val="none"/>
        </w:rPr>
      </w:pPr>
    </w:p>
    <w:p w14:paraId="1C4AA4D9">
      <w:pPr>
        <w:jc w:val="center"/>
        <w:rPr>
          <w:rFonts w:hint="eastAsia" w:ascii="Times New Roman" w:hAnsi="Times New Roman" w:eastAsia="仿宋"/>
          <w:sz w:val="32"/>
          <w:highlight w:val="none"/>
        </w:rPr>
      </w:pPr>
    </w:p>
    <w:p w14:paraId="6FAD6FD1">
      <w:pPr>
        <w:jc w:val="center"/>
        <w:rPr>
          <w:rFonts w:hint="eastAsia" w:ascii="Times New Roman" w:hAnsi="Times New Roman" w:eastAsia="仿宋"/>
          <w:sz w:val="32"/>
          <w:highlight w:val="none"/>
        </w:rPr>
      </w:pPr>
    </w:p>
    <w:p w14:paraId="09CE1546">
      <w:pPr>
        <w:jc w:val="center"/>
        <w:rPr>
          <w:rFonts w:hint="eastAsia" w:ascii="Times New Roman" w:hAnsi="Times New Roman" w:eastAsia="仿宋"/>
          <w:sz w:val="32"/>
          <w:highlight w:val="none"/>
        </w:rPr>
      </w:pPr>
    </w:p>
    <w:p w14:paraId="61E8BD10">
      <w:pPr>
        <w:jc w:val="center"/>
        <w:rPr>
          <w:rFonts w:hint="eastAsia" w:ascii="Times New Roman" w:hAnsi="Times New Roman" w:eastAsia="仿宋"/>
          <w:sz w:val="32"/>
          <w:highlight w:val="none"/>
        </w:rPr>
      </w:pPr>
    </w:p>
    <w:p w14:paraId="054F9C04">
      <w:pPr>
        <w:pStyle w:val="8"/>
        <w:rPr>
          <w:rFonts w:hint="eastAsia" w:ascii="Times New Roman" w:hAnsi="Times New Roman" w:eastAsia="仿宋"/>
          <w:sz w:val="32"/>
          <w:highlight w:val="none"/>
        </w:rPr>
      </w:pPr>
    </w:p>
    <w:p w14:paraId="63E7D17F">
      <w:pPr>
        <w:pStyle w:val="4"/>
        <w:rPr>
          <w:rFonts w:hint="eastAsia" w:ascii="Times New Roman" w:hAnsi="Times New Roman"/>
        </w:rPr>
      </w:pPr>
    </w:p>
    <w:p w14:paraId="703A41AF">
      <w:pPr>
        <w:pStyle w:val="8"/>
        <w:rPr>
          <w:rFonts w:hint="eastAsia" w:ascii="Times New Roman" w:hAnsi="Times New Roman"/>
        </w:rPr>
      </w:pPr>
    </w:p>
    <w:p w14:paraId="59679FBA">
      <w:pPr>
        <w:jc w:val="center"/>
        <w:rPr>
          <w:rFonts w:hint="eastAsia" w:ascii="Times New Roman" w:hAnsi="Times New Roman" w:eastAsia="方正小标宋简体" w:cs="方正小标宋简体"/>
          <w:sz w:val="44"/>
          <w:highlight w:val="none"/>
        </w:rPr>
      </w:pPr>
      <w:r>
        <w:rPr>
          <w:rFonts w:hint="eastAsia" w:ascii="Times New Roman" w:hAnsi="Times New Roman" w:eastAsia="方正小标宋简体" w:cs="方正小标宋简体"/>
          <w:sz w:val="44"/>
          <w:highlight w:val="none"/>
        </w:rPr>
        <w:t>目   录</w:t>
      </w:r>
    </w:p>
    <w:p w14:paraId="745229AF">
      <w:pPr>
        <w:rPr>
          <w:rFonts w:hint="eastAsia" w:ascii="Times New Roman" w:hAnsi="Times New Roman" w:eastAsia="仿宋"/>
          <w:sz w:val="32"/>
          <w:highlight w:val="none"/>
        </w:rPr>
      </w:pPr>
    </w:p>
    <w:p w14:paraId="01D69D2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黑体" w:cs="黑体"/>
          <w:b w:val="0"/>
          <w:bCs/>
          <w:sz w:val="32"/>
          <w:highlight w:val="none"/>
        </w:rPr>
      </w:pPr>
      <w:r>
        <w:rPr>
          <w:rFonts w:hint="eastAsia" w:ascii="Times New Roman" w:hAnsi="Times New Roman" w:eastAsia="黑体" w:cs="黑体"/>
          <w:b w:val="0"/>
          <w:bCs/>
          <w:sz w:val="32"/>
          <w:highlight w:val="none"/>
        </w:rPr>
        <w:t>第一部分  部门概况</w:t>
      </w:r>
    </w:p>
    <w:p w14:paraId="12A873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
          <w:sz w:val="32"/>
          <w:highlight w:val="none"/>
        </w:rPr>
      </w:pPr>
      <w:r>
        <w:rPr>
          <w:rFonts w:hint="eastAsia" w:ascii="Times New Roman" w:hAnsi="Times New Roman" w:eastAsia="仿宋"/>
          <w:sz w:val="32"/>
          <w:highlight w:val="none"/>
        </w:rPr>
        <w:t>一、部门职责</w:t>
      </w:r>
    </w:p>
    <w:p w14:paraId="5A843FD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
          <w:sz w:val="32"/>
          <w:highlight w:val="none"/>
        </w:rPr>
      </w:pPr>
      <w:r>
        <w:rPr>
          <w:rFonts w:hint="eastAsia" w:ascii="Times New Roman" w:hAnsi="Times New Roman" w:eastAsia="仿宋"/>
          <w:sz w:val="32"/>
          <w:highlight w:val="none"/>
        </w:rPr>
        <w:t>二、机构设置及部门决算单位构成</w:t>
      </w:r>
    </w:p>
    <w:p w14:paraId="5E8A290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黑体" w:cs="黑体"/>
          <w:b w:val="0"/>
          <w:bCs/>
          <w:sz w:val="32"/>
          <w:highlight w:val="none"/>
        </w:rPr>
      </w:pPr>
      <w:r>
        <w:rPr>
          <w:rFonts w:hint="eastAsia" w:ascii="Times New Roman" w:hAnsi="Times New Roman" w:eastAsia="黑体" w:cs="黑体"/>
          <w:b w:val="0"/>
          <w:bCs/>
          <w:sz w:val="32"/>
          <w:highlight w:val="none"/>
        </w:rPr>
        <w:t>第二部分 202</w:t>
      </w:r>
      <w:r>
        <w:rPr>
          <w:rFonts w:hint="eastAsia" w:ascii="Times New Roman" w:hAnsi="Times New Roman" w:eastAsia="黑体" w:cs="黑体"/>
          <w:b w:val="0"/>
          <w:bCs/>
          <w:sz w:val="32"/>
          <w:highlight w:val="none"/>
          <w:lang w:val="en-US" w:eastAsia="zh-CN"/>
        </w:rPr>
        <w:t>5</w:t>
      </w:r>
      <w:r>
        <w:rPr>
          <w:rFonts w:hint="eastAsia" w:ascii="Times New Roman" w:hAnsi="Times New Roman" w:eastAsia="黑体" w:cs="黑体"/>
          <w:b w:val="0"/>
          <w:bCs/>
          <w:sz w:val="32"/>
          <w:highlight w:val="none"/>
        </w:rPr>
        <w:t>年度部门决算表</w:t>
      </w:r>
    </w:p>
    <w:p w14:paraId="47EEDA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
          <w:sz w:val="32"/>
          <w:highlight w:val="none"/>
        </w:rPr>
      </w:pPr>
      <w:r>
        <w:rPr>
          <w:rFonts w:hint="eastAsia" w:ascii="Times New Roman" w:hAnsi="Times New Roman" w:eastAsia="仿宋"/>
          <w:sz w:val="32"/>
          <w:highlight w:val="none"/>
        </w:rPr>
        <w:t>一、收入支出决算总表</w:t>
      </w:r>
    </w:p>
    <w:p w14:paraId="519CE6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
          <w:sz w:val="32"/>
          <w:highlight w:val="none"/>
        </w:rPr>
      </w:pPr>
      <w:r>
        <w:rPr>
          <w:rFonts w:hint="eastAsia" w:ascii="Times New Roman" w:hAnsi="Times New Roman" w:eastAsia="仿宋"/>
          <w:sz w:val="32"/>
          <w:highlight w:val="none"/>
        </w:rPr>
        <w:t>二、收入决算表</w:t>
      </w:r>
    </w:p>
    <w:p w14:paraId="725642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
          <w:sz w:val="32"/>
          <w:highlight w:val="none"/>
        </w:rPr>
      </w:pPr>
      <w:r>
        <w:rPr>
          <w:rFonts w:hint="eastAsia" w:ascii="Times New Roman" w:hAnsi="Times New Roman" w:eastAsia="仿宋"/>
          <w:sz w:val="32"/>
          <w:highlight w:val="none"/>
        </w:rPr>
        <w:t>三、支出决算表</w:t>
      </w:r>
    </w:p>
    <w:p w14:paraId="1630518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
          <w:sz w:val="32"/>
          <w:highlight w:val="none"/>
        </w:rPr>
      </w:pPr>
      <w:r>
        <w:rPr>
          <w:rFonts w:hint="eastAsia" w:ascii="Times New Roman" w:hAnsi="Times New Roman" w:eastAsia="仿宋"/>
          <w:sz w:val="32"/>
          <w:highlight w:val="none"/>
        </w:rPr>
        <w:t>四、财政拨款收入支出决算总表</w:t>
      </w:r>
    </w:p>
    <w:p w14:paraId="6A26B86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
          <w:sz w:val="32"/>
          <w:highlight w:val="none"/>
        </w:rPr>
      </w:pPr>
      <w:r>
        <w:rPr>
          <w:rFonts w:hint="eastAsia" w:ascii="Times New Roman" w:hAnsi="Times New Roman" w:eastAsia="仿宋"/>
          <w:sz w:val="32"/>
          <w:highlight w:val="none"/>
        </w:rPr>
        <w:t>五、一般公共预算财政拨款支出决算表</w:t>
      </w:r>
    </w:p>
    <w:p w14:paraId="07DC394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
          <w:sz w:val="32"/>
          <w:highlight w:val="none"/>
        </w:rPr>
      </w:pPr>
      <w:r>
        <w:rPr>
          <w:rFonts w:hint="eastAsia" w:ascii="Times New Roman" w:hAnsi="Times New Roman" w:eastAsia="仿宋"/>
          <w:sz w:val="32"/>
          <w:highlight w:val="none"/>
        </w:rPr>
        <w:t>六、一般公共预算财政拨款基本支出决算明</w:t>
      </w:r>
      <w:r>
        <w:rPr>
          <w:rFonts w:ascii="Times New Roman" w:hAnsi="Times New Roman" w:eastAsia="仿宋"/>
          <w:sz w:val="32"/>
          <w:highlight w:val="none"/>
        </w:rPr>
        <w:t>细</w:t>
      </w:r>
      <w:r>
        <w:rPr>
          <w:rFonts w:hint="eastAsia" w:ascii="Times New Roman" w:hAnsi="Times New Roman" w:eastAsia="仿宋"/>
          <w:sz w:val="32"/>
          <w:highlight w:val="none"/>
        </w:rPr>
        <w:t>表</w:t>
      </w:r>
    </w:p>
    <w:p w14:paraId="28EA82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ascii="Times New Roman" w:hAnsi="Times New Roman" w:eastAsia="仿宋"/>
          <w:sz w:val="32"/>
          <w:highlight w:val="none"/>
        </w:rPr>
      </w:pPr>
      <w:r>
        <w:rPr>
          <w:rFonts w:hint="eastAsia" w:ascii="Times New Roman" w:hAnsi="Times New Roman" w:eastAsia="仿宋"/>
          <w:sz w:val="32"/>
          <w:highlight w:val="none"/>
        </w:rPr>
        <w:t>七、政府性基金预算财政拨款收入支出决算表</w:t>
      </w:r>
    </w:p>
    <w:p w14:paraId="313F2CC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
          <w:sz w:val="32"/>
          <w:highlight w:val="none"/>
        </w:rPr>
      </w:pPr>
      <w:r>
        <w:rPr>
          <w:rFonts w:hint="eastAsia" w:ascii="Times New Roman" w:hAnsi="Times New Roman" w:eastAsia="仿宋"/>
          <w:sz w:val="32"/>
          <w:highlight w:val="none"/>
        </w:rPr>
        <w:t>八、</w:t>
      </w:r>
      <w:r>
        <w:rPr>
          <w:rFonts w:hint="eastAsia" w:ascii="Times New Roman" w:hAnsi="Times New Roman" w:eastAsia="仿宋"/>
          <w:sz w:val="32"/>
          <w:szCs w:val="30"/>
          <w:highlight w:val="none"/>
        </w:rPr>
        <w:t>国有</w:t>
      </w:r>
      <w:r>
        <w:rPr>
          <w:rFonts w:ascii="Times New Roman" w:hAnsi="Times New Roman" w:eastAsia="仿宋"/>
          <w:sz w:val="32"/>
          <w:szCs w:val="30"/>
          <w:highlight w:val="none"/>
        </w:rPr>
        <w:t>资本经营预算</w:t>
      </w:r>
      <w:r>
        <w:rPr>
          <w:rFonts w:hint="eastAsia" w:ascii="Times New Roman" w:hAnsi="Times New Roman" w:eastAsia="仿宋"/>
          <w:sz w:val="32"/>
          <w:szCs w:val="30"/>
          <w:highlight w:val="none"/>
        </w:rPr>
        <w:t>财政拨款支出</w:t>
      </w:r>
      <w:r>
        <w:rPr>
          <w:rFonts w:ascii="Times New Roman" w:hAnsi="Times New Roman" w:eastAsia="仿宋"/>
          <w:sz w:val="32"/>
          <w:szCs w:val="30"/>
          <w:highlight w:val="none"/>
        </w:rPr>
        <w:t>决算表</w:t>
      </w:r>
    </w:p>
    <w:p w14:paraId="551F974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ascii="Times New Roman" w:hAnsi="Times New Roman" w:eastAsia="仿宋"/>
          <w:sz w:val="32"/>
          <w:highlight w:val="none"/>
        </w:rPr>
      </w:pPr>
      <w:r>
        <w:rPr>
          <w:rFonts w:hint="eastAsia" w:ascii="Times New Roman" w:hAnsi="Times New Roman" w:eastAsia="仿宋"/>
          <w:sz w:val="32"/>
          <w:highlight w:val="none"/>
        </w:rPr>
        <w:t>九、财政拨款“三公”经费支出决算表</w:t>
      </w:r>
    </w:p>
    <w:p w14:paraId="2481773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
          <w:sz w:val="32"/>
          <w:highlight w:val="none"/>
        </w:rPr>
      </w:pPr>
      <w:r>
        <w:rPr>
          <w:rFonts w:hint="eastAsia" w:ascii="Times New Roman" w:hAnsi="Times New Roman" w:eastAsia="仿宋"/>
          <w:sz w:val="32"/>
          <w:highlight w:val="none"/>
        </w:rPr>
        <w:t>十、部门预算项目支出绩效自评表</w:t>
      </w:r>
    </w:p>
    <w:p w14:paraId="142700D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黑体" w:cs="黑体"/>
          <w:b w:val="0"/>
          <w:bCs/>
          <w:sz w:val="32"/>
          <w:highlight w:val="none"/>
        </w:rPr>
      </w:pPr>
      <w:r>
        <w:rPr>
          <w:rFonts w:hint="eastAsia" w:ascii="Times New Roman" w:hAnsi="Times New Roman" w:eastAsia="黑体" w:cs="黑体"/>
          <w:b w:val="0"/>
          <w:bCs/>
          <w:sz w:val="32"/>
          <w:highlight w:val="none"/>
        </w:rPr>
        <w:t>第三部分  202</w:t>
      </w:r>
      <w:r>
        <w:rPr>
          <w:rFonts w:hint="eastAsia" w:ascii="Times New Roman" w:hAnsi="Times New Roman" w:eastAsia="黑体" w:cs="黑体"/>
          <w:b w:val="0"/>
          <w:bCs/>
          <w:sz w:val="32"/>
          <w:highlight w:val="none"/>
          <w:lang w:val="en-US" w:eastAsia="zh-CN"/>
        </w:rPr>
        <w:t>5</w:t>
      </w:r>
      <w:r>
        <w:rPr>
          <w:rFonts w:hint="eastAsia" w:ascii="Times New Roman" w:hAnsi="Times New Roman" w:eastAsia="黑体" w:cs="黑体"/>
          <w:b w:val="0"/>
          <w:bCs/>
          <w:sz w:val="32"/>
          <w:highlight w:val="none"/>
        </w:rPr>
        <w:t>年度部门决算情况说明</w:t>
      </w:r>
    </w:p>
    <w:p w14:paraId="356A5CD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
          <w:sz w:val="32"/>
          <w:highlight w:val="none"/>
        </w:rPr>
      </w:pPr>
      <w:r>
        <w:rPr>
          <w:rFonts w:hint="eastAsia" w:ascii="Times New Roman" w:hAnsi="Times New Roman" w:eastAsia="仿宋"/>
          <w:sz w:val="32"/>
          <w:highlight w:val="none"/>
        </w:rPr>
        <w:t>一、收入支出决算总体情况说明</w:t>
      </w:r>
    </w:p>
    <w:p w14:paraId="4C9CA2C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
          <w:sz w:val="32"/>
          <w:highlight w:val="none"/>
        </w:rPr>
      </w:pPr>
      <w:r>
        <w:rPr>
          <w:rFonts w:hint="eastAsia" w:ascii="Times New Roman" w:hAnsi="Times New Roman" w:eastAsia="仿宋"/>
          <w:sz w:val="32"/>
          <w:highlight w:val="none"/>
        </w:rPr>
        <w:t>二、收入决算情况说明</w:t>
      </w:r>
    </w:p>
    <w:p w14:paraId="6338C25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
          <w:sz w:val="32"/>
          <w:highlight w:val="none"/>
        </w:rPr>
      </w:pPr>
      <w:r>
        <w:rPr>
          <w:rFonts w:hint="eastAsia" w:ascii="Times New Roman" w:hAnsi="Times New Roman" w:eastAsia="仿宋"/>
          <w:sz w:val="32"/>
          <w:highlight w:val="none"/>
        </w:rPr>
        <w:t>三、支出决算情况说明</w:t>
      </w:r>
    </w:p>
    <w:p w14:paraId="2C59E08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
          <w:sz w:val="32"/>
          <w:highlight w:val="none"/>
        </w:rPr>
      </w:pPr>
      <w:r>
        <w:rPr>
          <w:rFonts w:hint="eastAsia" w:ascii="Times New Roman" w:hAnsi="Times New Roman" w:eastAsia="仿宋"/>
          <w:sz w:val="32"/>
          <w:highlight w:val="none"/>
        </w:rPr>
        <w:t>四、财政拨款收入支出决算总体情况说明</w:t>
      </w:r>
    </w:p>
    <w:p w14:paraId="1DE0D41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
          <w:sz w:val="32"/>
          <w:highlight w:val="none"/>
        </w:rPr>
      </w:pPr>
      <w:r>
        <w:rPr>
          <w:rFonts w:hint="eastAsia" w:ascii="Times New Roman" w:hAnsi="Times New Roman" w:eastAsia="仿宋"/>
          <w:sz w:val="32"/>
          <w:highlight w:val="none"/>
        </w:rPr>
        <w:t>五、一般公共预算财政拨款支出决算情况说明</w:t>
      </w:r>
    </w:p>
    <w:p w14:paraId="1D25256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
          <w:sz w:val="32"/>
          <w:highlight w:val="none"/>
        </w:rPr>
      </w:pPr>
      <w:r>
        <w:rPr>
          <w:rFonts w:hint="eastAsia" w:ascii="Times New Roman" w:hAnsi="Times New Roman" w:eastAsia="仿宋"/>
          <w:sz w:val="32"/>
          <w:highlight w:val="none"/>
        </w:rPr>
        <w:t>六、一般公共预算财政拨款基本支出决算情况说明</w:t>
      </w:r>
    </w:p>
    <w:p w14:paraId="5840864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
          <w:sz w:val="32"/>
          <w:highlight w:val="none"/>
        </w:rPr>
      </w:pPr>
      <w:r>
        <w:rPr>
          <w:rFonts w:hint="eastAsia" w:ascii="Times New Roman" w:hAnsi="Times New Roman" w:eastAsia="仿宋"/>
          <w:sz w:val="32"/>
          <w:highlight w:val="none"/>
        </w:rPr>
        <w:t>七、政府性基金预算财政拨款收入支出决算情况说明</w:t>
      </w:r>
    </w:p>
    <w:p w14:paraId="68CFC4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
          <w:sz w:val="32"/>
          <w:szCs w:val="30"/>
          <w:highlight w:val="none"/>
        </w:rPr>
      </w:pPr>
      <w:r>
        <w:rPr>
          <w:rFonts w:hint="eastAsia" w:ascii="Times New Roman" w:hAnsi="Times New Roman" w:eastAsia="仿宋"/>
          <w:sz w:val="32"/>
          <w:highlight w:val="none"/>
        </w:rPr>
        <w:t>八、</w:t>
      </w:r>
      <w:r>
        <w:rPr>
          <w:rFonts w:hint="eastAsia" w:ascii="Times New Roman" w:hAnsi="Times New Roman" w:eastAsia="仿宋"/>
          <w:sz w:val="32"/>
          <w:szCs w:val="30"/>
          <w:highlight w:val="none"/>
        </w:rPr>
        <w:t>国有</w:t>
      </w:r>
      <w:r>
        <w:rPr>
          <w:rFonts w:ascii="Times New Roman" w:hAnsi="Times New Roman" w:eastAsia="仿宋"/>
          <w:sz w:val="32"/>
          <w:szCs w:val="30"/>
          <w:highlight w:val="none"/>
        </w:rPr>
        <w:t>资本经营预算</w:t>
      </w:r>
      <w:r>
        <w:rPr>
          <w:rFonts w:hint="eastAsia" w:ascii="Times New Roman" w:hAnsi="Times New Roman" w:eastAsia="仿宋"/>
          <w:sz w:val="32"/>
          <w:szCs w:val="30"/>
          <w:highlight w:val="none"/>
        </w:rPr>
        <w:t>财政拨款支出</w:t>
      </w:r>
      <w:r>
        <w:rPr>
          <w:rFonts w:ascii="Times New Roman" w:hAnsi="Times New Roman" w:eastAsia="仿宋"/>
          <w:sz w:val="32"/>
          <w:szCs w:val="30"/>
          <w:highlight w:val="none"/>
        </w:rPr>
        <w:t>决算</w:t>
      </w:r>
      <w:r>
        <w:rPr>
          <w:rFonts w:hint="eastAsia" w:ascii="Times New Roman" w:hAnsi="Times New Roman" w:eastAsia="仿宋"/>
          <w:sz w:val="32"/>
          <w:szCs w:val="30"/>
          <w:highlight w:val="none"/>
        </w:rPr>
        <w:t>情况说明</w:t>
      </w:r>
    </w:p>
    <w:p w14:paraId="6D1BAC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
          <w:sz w:val="32"/>
          <w:highlight w:val="none"/>
        </w:rPr>
      </w:pPr>
      <w:r>
        <w:rPr>
          <w:rFonts w:hint="eastAsia" w:ascii="Times New Roman" w:hAnsi="Times New Roman" w:eastAsia="仿宋"/>
          <w:sz w:val="32"/>
          <w:highlight w:val="none"/>
        </w:rPr>
        <w:t>九、财政拨款“三公”经费支出决算情况说明</w:t>
      </w:r>
    </w:p>
    <w:p w14:paraId="1CAD61C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ascii="Times New Roman" w:hAnsi="Times New Roman" w:eastAsia="仿宋"/>
          <w:sz w:val="32"/>
          <w:highlight w:val="none"/>
        </w:rPr>
      </w:pPr>
      <w:r>
        <w:rPr>
          <w:rFonts w:hint="eastAsia" w:ascii="Times New Roman" w:hAnsi="Times New Roman" w:eastAsia="仿宋"/>
          <w:sz w:val="32"/>
          <w:highlight w:val="none"/>
        </w:rPr>
        <w:t>十、绩效评</w:t>
      </w:r>
      <w:r>
        <w:rPr>
          <w:rFonts w:ascii="Times New Roman" w:hAnsi="Times New Roman" w:eastAsia="仿宋"/>
          <w:sz w:val="32"/>
          <w:highlight w:val="none"/>
        </w:rPr>
        <w:t>价情况说明</w:t>
      </w:r>
    </w:p>
    <w:p w14:paraId="3A39198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
          <w:sz w:val="32"/>
          <w:highlight w:val="none"/>
        </w:rPr>
      </w:pPr>
      <w:r>
        <w:rPr>
          <w:rFonts w:hint="eastAsia" w:ascii="Times New Roman" w:hAnsi="Times New Roman" w:eastAsia="仿宋"/>
          <w:sz w:val="32"/>
          <w:highlight w:val="none"/>
        </w:rPr>
        <w:t>十一、其</w:t>
      </w:r>
      <w:r>
        <w:rPr>
          <w:rFonts w:ascii="Times New Roman" w:hAnsi="Times New Roman" w:eastAsia="仿宋"/>
          <w:sz w:val="32"/>
          <w:highlight w:val="none"/>
        </w:rPr>
        <w:t>他重要事项情况说明</w:t>
      </w:r>
    </w:p>
    <w:p w14:paraId="28EFAB7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黑体" w:cs="黑体"/>
          <w:b w:val="0"/>
          <w:bCs/>
          <w:sz w:val="32"/>
          <w:highlight w:val="none"/>
        </w:rPr>
      </w:pPr>
      <w:r>
        <w:rPr>
          <w:rFonts w:hint="eastAsia" w:ascii="Times New Roman" w:hAnsi="Times New Roman" w:eastAsia="黑体" w:cs="黑体"/>
          <w:b w:val="0"/>
          <w:bCs/>
          <w:sz w:val="32"/>
          <w:highlight w:val="none"/>
        </w:rPr>
        <w:t>第四部分  名词解释</w:t>
      </w:r>
    </w:p>
    <w:p w14:paraId="489F8EAA">
      <w:pPr>
        <w:rPr>
          <w:rFonts w:hint="eastAsia" w:ascii="Times New Roman" w:hAnsi="Times New Roman" w:eastAsia="仿宋"/>
          <w:sz w:val="32"/>
          <w:highlight w:val="none"/>
        </w:rPr>
      </w:pPr>
    </w:p>
    <w:p w14:paraId="316504A8">
      <w:pPr>
        <w:rPr>
          <w:rFonts w:hint="eastAsia" w:ascii="Times New Roman" w:hAnsi="Times New Roman" w:eastAsia="仿宋"/>
          <w:sz w:val="32"/>
          <w:highlight w:val="none"/>
        </w:rPr>
      </w:pPr>
    </w:p>
    <w:p w14:paraId="23CC0576">
      <w:pPr>
        <w:rPr>
          <w:rFonts w:hint="eastAsia" w:ascii="Times New Roman" w:hAnsi="Times New Roman" w:eastAsia="仿宋"/>
          <w:sz w:val="32"/>
          <w:highlight w:val="none"/>
        </w:rPr>
      </w:pPr>
    </w:p>
    <w:p w14:paraId="506F3D54">
      <w:pPr>
        <w:jc w:val="center"/>
        <w:rPr>
          <w:rFonts w:hint="eastAsia" w:ascii="Times New Roman" w:hAnsi="Times New Roman" w:eastAsia="仿宋"/>
          <w:sz w:val="32"/>
          <w:highlight w:val="none"/>
        </w:rPr>
      </w:pPr>
    </w:p>
    <w:p w14:paraId="01DBC87C">
      <w:pPr>
        <w:jc w:val="center"/>
        <w:rPr>
          <w:rFonts w:hint="eastAsia" w:ascii="Times New Roman" w:hAnsi="Times New Roman" w:eastAsia="仿宋"/>
          <w:sz w:val="32"/>
          <w:highlight w:val="none"/>
        </w:rPr>
      </w:pPr>
    </w:p>
    <w:p w14:paraId="2DF02542">
      <w:pPr>
        <w:jc w:val="center"/>
        <w:rPr>
          <w:rFonts w:hint="eastAsia" w:ascii="Times New Roman" w:hAnsi="Times New Roman" w:eastAsia="仿宋"/>
          <w:sz w:val="44"/>
          <w:highlight w:val="none"/>
        </w:rPr>
      </w:pPr>
    </w:p>
    <w:p w14:paraId="11D7A6C8">
      <w:pPr>
        <w:ind w:firstLine="2200" w:firstLineChars="500"/>
        <w:rPr>
          <w:rFonts w:hint="eastAsia" w:ascii="Times New Roman" w:hAnsi="Times New Roman" w:eastAsia="方正小标宋简体"/>
          <w:sz w:val="44"/>
          <w:highlight w:val="none"/>
        </w:rPr>
      </w:pPr>
      <w:r>
        <w:rPr>
          <w:rFonts w:hint="eastAsia" w:ascii="Times New Roman" w:hAnsi="Times New Roman" w:eastAsia="方正小标宋简体"/>
          <w:sz w:val="44"/>
          <w:highlight w:val="none"/>
        </w:rPr>
        <w:t>第一部分  部门概况</w:t>
      </w:r>
    </w:p>
    <w:p w14:paraId="4A130529">
      <w:pPr>
        <w:jc w:val="center"/>
        <w:rPr>
          <w:rFonts w:hint="eastAsia" w:ascii="Times New Roman" w:hAnsi="Times New Roman" w:eastAsia="仿宋"/>
          <w:sz w:val="32"/>
          <w:highlight w:val="none"/>
        </w:rPr>
      </w:pPr>
    </w:p>
    <w:p w14:paraId="327DAE84">
      <w:pPr>
        <w:ind w:firstLine="720" w:firstLineChars="225"/>
        <w:rPr>
          <w:rFonts w:hint="eastAsia" w:ascii="Times New Roman" w:hAnsi="Times New Roman" w:eastAsia="黑体"/>
          <w:sz w:val="32"/>
          <w:highlight w:val="none"/>
        </w:rPr>
      </w:pPr>
      <w:r>
        <w:rPr>
          <w:rFonts w:hint="eastAsia" w:ascii="Times New Roman" w:hAnsi="Times New Roman" w:eastAsia="黑体"/>
          <w:sz w:val="32"/>
          <w:highlight w:val="none"/>
        </w:rPr>
        <w:t>一、部门主要职责</w:t>
      </w:r>
    </w:p>
    <w:p w14:paraId="711AA97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eastAsia="仿宋"/>
          <w:sz w:val="32"/>
          <w:highlight w:val="none"/>
          <w:lang w:val="en-US" w:eastAsia="zh-CN"/>
        </w:rPr>
      </w:pPr>
      <w:r>
        <w:rPr>
          <w:rFonts w:hint="eastAsia" w:ascii="宋体" w:hAnsi="宋体" w:eastAsia="仿宋"/>
          <w:sz w:val="32"/>
          <w:highlight w:val="none"/>
          <w:lang w:val="en-US" w:eastAsia="zh-CN"/>
        </w:rPr>
        <w:t>(一)贯彻执行国家、省、市财政方针政策及预算法律法规</w:t>
      </w:r>
      <w:r>
        <w:rPr>
          <w:rFonts w:hint="default" w:ascii="宋体" w:hAnsi="宋体" w:eastAsia="仿宋"/>
          <w:sz w:val="32"/>
          <w:highlight w:val="none"/>
          <w:lang w:eastAsia="zh-CN"/>
        </w:rPr>
        <w:t>，</w:t>
      </w:r>
      <w:r>
        <w:rPr>
          <w:rFonts w:hint="eastAsia" w:ascii="宋体" w:hAnsi="宋体" w:eastAsia="仿宋"/>
          <w:sz w:val="32"/>
          <w:highlight w:val="none"/>
          <w:lang w:val="en-US" w:eastAsia="zh-CN"/>
        </w:rPr>
        <w:t>受区政府委托组织编制全区财政预算、决算等有关草案。</w:t>
      </w:r>
    </w:p>
    <w:p w14:paraId="0852A33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eastAsia="仿宋"/>
          <w:sz w:val="32"/>
          <w:highlight w:val="none"/>
          <w:lang w:val="en-US" w:eastAsia="zh-CN"/>
        </w:rPr>
      </w:pPr>
      <w:r>
        <w:rPr>
          <w:rFonts w:hint="eastAsia" w:ascii="宋体" w:hAnsi="宋体" w:eastAsia="仿宋"/>
          <w:sz w:val="32"/>
          <w:highlight w:val="none"/>
          <w:lang w:val="en-US" w:eastAsia="zh-CN"/>
        </w:rPr>
        <w:t>(二)依据相关规定</w:t>
      </w:r>
      <w:r>
        <w:rPr>
          <w:rFonts w:hint="default" w:ascii="宋体" w:hAnsi="宋体" w:eastAsia="仿宋"/>
          <w:sz w:val="32"/>
          <w:highlight w:val="none"/>
          <w:lang w:eastAsia="zh-CN"/>
        </w:rPr>
        <w:t>，</w:t>
      </w:r>
      <w:r>
        <w:rPr>
          <w:rFonts w:hint="eastAsia" w:ascii="宋体" w:hAnsi="宋体" w:eastAsia="仿宋"/>
          <w:sz w:val="32"/>
          <w:highlight w:val="none"/>
          <w:lang w:val="en-US" w:eastAsia="zh-CN"/>
        </w:rPr>
        <w:t>依法开展有关财政收支的统计、调度等各项工作。</w:t>
      </w:r>
    </w:p>
    <w:p w14:paraId="6F94C20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eastAsia="仿宋"/>
          <w:sz w:val="32"/>
          <w:highlight w:val="none"/>
          <w:lang w:val="en-US" w:eastAsia="zh-CN"/>
        </w:rPr>
      </w:pPr>
      <w:r>
        <w:rPr>
          <w:rFonts w:hint="eastAsia" w:ascii="宋体" w:hAnsi="宋体" w:eastAsia="仿宋"/>
          <w:sz w:val="32"/>
          <w:highlight w:val="none"/>
          <w:lang w:val="en-US" w:eastAsia="zh-CN"/>
        </w:rPr>
        <w:t>(三)负责政府非税收入的区级核算管理</w:t>
      </w:r>
      <w:r>
        <w:rPr>
          <w:rFonts w:hint="default" w:ascii="宋体" w:hAnsi="宋体" w:eastAsia="仿宋"/>
          <w:sz w:val="32"/>
          <w:highlight w:val="none"/>
          <w:lang w:eastAsia="zh-CN"/>
        </w:rPr>
        <w:t>；</w:t>
      </w:r>
      <w:r>
        <w:rPr>
          <w:rFonts w:hint="eastAsia" w:ascii="宋体" w:hAnsi="宋体" w:eastAsia="仿宋"/>
          <w:sz w:val="32"/>
          <w:highlight w:val="none"/>
          <w:lang w:val="en-US" w:eastAsia="zh-CN"/>
        </w:rPr>
        <w:t>负责政府性基金的区级管理与核算</w:t>
      </w:r>
      <w:r>
        <w:rPr>
          <w:rFonts w:hint="default" w:ascii="宋体" w:hAnsi="宋体" w:eastAsia="仿宋"/>
          <w:sz w:val="32"/>
          <w:highlight w:val="none"/>
          <w:lang w:eastAsia="zh-CN"/>
        </w:rPr>
        <w:t>；</w:t>
      </w:r>
      <w:r>
        <w:rPr>
          <w:rFonts w:hint="eastAsia" w:ascii="宋体" w:hAnsi="宋体" w:eastAsia="仿宋"/>
          <w:sz w:val="32"/>
          <w:highlight w:val="none"/>
          <w:lang w:val="en-US" w:eastAsia="zh-CN"/>
        </w:rPr>
        <w:t>组织开展财政罚没票据的管理与罚没收入的核算。</w:t>
      </w:r>
    </w:p>
    <w:p w14:paraId="5C1BFD6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eastAsia="仿宋"/>
          <w:sz w:val="32"/>
          <w:highlight w:val="none"/>
          <w:lang w:val="en-US" w:eastAsia="zh-CN"/>
        </w:rPr>
      </w:pPr>
      <w:r>
        <w:rPr>
          <w:rFonts w:hint="eastAsia" w:ascii="宋体" w:hAnsi="宋体" w:eastAsia="仿宋"/>
          <w:sz w:val="32"/>
          <w:highlight w:val="none"/>
          <w:lang w:val="en-US" w:eastAsia="zh-CN"/>
        </w:rPr>
        <w:t>(四)组织拟订全区国库集中支付有关制度</w:t>
      </w:r>
      <w:r>
        <w:rPr>
          <w:rFonts w:hint="default" w:ascii="宋体" w:hAnsi="宋体" w:eastAsia="仿宋"/>
          <w:sz w:val="32"/>
          <w:highlight w:val="none"/>
          <w:lang w:eastAsia="zh-CN"/>
        </w:rPr>
        <w:t>，</w:t>
      </w:r>
      <w:r>
        <w:rPr>
          <w:rFonts w:hint="eastAsia" w:ascii="宋体" w:hAnsi="宋体" w:eastAsia="仿宋"/>
          <w:sz w:val="32"/>
          <w:highlight w:val="none"/>
          <w:lang w:val="en-US" w:eastAsia="zh-CN"/>
        </w:rPr>
        <w:t>稳步推进国库集中支付改革。</w:t>
      </w:r>
    </w:p>
    <w:p w14:paraId="6FCDE6A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eastAsia="仿宋"/>
          <w:sz w:val="32"/>
          <w:highlight w:val="none"/>
          <w:lang w:val="en-US" w:eastAsia="zh-CN"/>
        </w:rPr>
      </w:pPr>
      <w:r>
        <w:rPr>
          <w:rFonts w:hint="eastAsia" w:ascii="宋体" w:hAnsi="宋体" w:eastAsia="仿宋"/>
          <w:sz w:val="32"/>
          <w:highlight w:val="none"/>
          <w:lang w:val="en-US" w:eastAsia="zh-CN"/>
        </w:rPr>
        <w:t>(五)根据工作安排组织开展有关财政法规和政策执行情况监督及财政支出绩效评价的有关工作。</w:t>
      </w:r>
    </w:p>
    <w:p w14:paraId="2495940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eastAsia="仿宋"/>
          <w:sz w:val="32"/>
          <w:highlight w:val="none"/>
          <w:lang w:val="en-US" w:eastAsia="zh-CN"/>
        </w:rPr>
      </w:pPr>
      <w:r>
        <w:rPr>
          <w:rFonts w:hint="eastAsia" w:ascii="宋体" w:hAnsi="宋体" w:eastAsia="仿宋"/>
          <w:sz w:val="32"/>
          <w:highlight w:val="none"/>
          <w:lang w:val="en-US" w:eastAsia="zh-CN"/>
        </w:rPr>
        <w:t>(六)贯彻落实国家和省市关于国有资产管理的各项规定</w:t>
      </w:r>
      <w:r>
        <w:rPr>
          <w:rFonts w:hint="default" w:ascii="宋体" w:hAnsi="宋体" w:eastAsia="仿宋"/>
          <w:sz w:val="32"/>
          <w:highlight w:val="none"/>
          <w:lang w:eastAsia="zh-CN"/>
        </w:rPr>
        <w:t>，</w:t>
      </w:r>
      <w:r>
        <w:rPr>
          <w:rFonts w:hint="eastAsia" w:ascii="宋体" w:hAnsi="宋体" w:eastAsia="仿宋"/>
          <w:sz w:val="32"/>
          <w:highlight w:val="none"/>
          <w:lang w:val="en-US" w:eastAsia="zh-CN"/>
        </w:rPr>
        <w:t>会同有关部门研究拟订全区国有资产管理的规章制度</w:t>
      </w:r>
      <w:r>
        <w:rPr>
          <w:rFonts w:hint="default" w:ascii="宋体" w:hAnsi="宋体" w:eastAsia="仿宋"/>
          <w:sz w:val="32"/>
          <w:highlight w:val="none"/>
          <w:lang w:eastAsia="zh-CN"/>
        </w:rPr>
        <w:t>；</w:t>
      </w:r>
      <w:r>
        <w:rPr>
          <w:rFonts w:hint="eastAsia" w:ascii="宋体" w:hAnsi="宋体" w:eastAsia="仿宋"/>
          <w:sz w:val="32"/>
          <w:highlight w:val="none"/>
          <w:lang w:val="en-US" w:eastAsia="zh-CN"/>
        </w:rPr>
        <w:t>组织开展对全区国有资产监督管理。</w:t>
      </w:r>
    </w:p>
    <w:p w14:paraId="7B33E8D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eastAsia="仿宋"/>
          <w:sz w:val="32"/>
          <w:highlight w:val="none"/>
          <w:lang w:val="en-US" w:eastAsia="zh-CN"/>
        </w:rPr>
      </w:pPr>
      <w:r>
        <w:rPr>
          <w:rFonts w:hint="eastAsia" w:ascii="宋体" w:hAnsi="宋体" w:eastAsia="仿宋"/>
          <w:sz w:val="32"/>
          <w:highlight w:val="none"/>
          <w:lang w:val="en-US" w:eastAsia="zh-CN"/>
        </w:rPr>
        <w:t>(七)负责组织实施全区行政事业单位财务人员继续教育、业务培训</w:t>
      </w:r>
      <w:r>
        <w:rPr>
          <w:rFonts w:hint="default" w:ascii="宋体" w:hAnsi="宋体" w:eastAsia="仿宋"/>
          <w:sz w:val="32"/>
          <w:highlight w:val="none"/>
          <w:lang w:eastAsia="zh-CN"/>
        </w:rPr>
        <w:t>，</w:t>
      </w:r>
      <w:r>
        <w:rPr>
          <w:rFonts w:hint="eastAsia" w:ascii="宋体" w:hAnsi="宋体" w:eastAsia="仿宋"/>
          <w:sz w:val="32"/>
          <w:highlight w:val="none"/>
          <w:lang w:val="en-US" w:eastAsia="zh-CN"/>
        </w:rPr>
        <w:t>指导全区行政事业单位内部控制制度建设及会计基础规范执行等相关工作。</w:t>
      </w:r>
    </w:p>
    <w:p w14:paraId="6FF44F2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eastAsia="仿宋"/>
          <w:sz w:val="32"/>
          <w:highlight w:val="none"/>
          <w:lang w:val="en-US" w:eastAsia="zh-CN"/>
        </w:rPr>
      </w:pPr>
      <w:r>
        <w:rPr>
          <w:rFonts w:hint="eastAsia" w:ascii="宋体" w:hAnsi="宋体" w:eastAsia="仿宋"/>
          <w:sz w:val="32"/>
          <w:highlight w:val="none"/>
          <w:lang w:val="en-US" w:eastAsia="zh-CN"/>
        </w:rPr>
        <w:t>(八)贯彻执行国家和省市社会保障资金管理中涉及财政范畴的有关要求。</w:t>
      </w:r>
    </w:p>
    <w:p w14:paraId="36B8E8E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eastAsia="仿宋"/>
          <w:sz w:val="32"/>
          <w:highlight w:val="none"/>
          <w:lang w:val="en-US" w:eastAsia="zh-CN"/>
        </w:rPr>
      </w:pPr>
      <w:r>
        <w:rPr>
          <w:rFonts w:hint="eastAsia" w:ascii="宋体" w:hAnsi="宋体" w:eastAsia="仿宋"/>
          <w:sz w:val="32"/>
          <w:highlight w:val="none"/>
          <w:lang w:val="en-US" w:eastAsia="zh-CN"/>
        </w:rPr>
        <w:t>(九)负责贯彻执行国家和省市政府性债务管理的方针政策和规章制度</w:t>
      </w:r>
      <w:r>
        <w:rPr>
          <w:rFonts w:hint="default" w:ascii="宋体" w:hAnsi="宋体" w:eastAsia="仿宋"/>
          <w:sz w:val="32"/>
          <w:highlight w:val="none"/>
          <w:lang w:eastAsia="zh-CN"/>
        </w:rPr>
        <w:t>；</w:t>
      </w:r>
      <w:r>
        <w:rPr>
          <w:rFonts w:hint="eastAsia" w:ascii="宋体" w:hAnsi="宋体" w:eastAsia="仿宋"/>
          <w:sz w:val="32"/>
          <w:highlight w:val="none"/>
          <w:lang w:val="en-US" w:eastAsia="zh-CN"/>
        </w:rPr>
        <w:t>根据区政府工作安排组织管理本级政府内外债务</w:t>
      </w:r>
      <w:r>
        <w:rPr>
          <w:rFonts w:hint="default" w:ascii="宋体" w:hAnsi="宋体" w:eastAsia="仿宋"/>
          <w:sz w:val="32"/>
          <w:highlight w:val="none"/>
          <w:lang w:eastAsia="zh-CN"/>
        </w:rPr>
        <w:t>，</w:t>
      </w:r>
      <w:r>
        <w:rPr>
          <w:rFonts w:hint="eastAsia" w:ascii="宋体" w:hAnsi="宋体" w:eastAsia="仿宋"/>
          <w:sz w:val="32"/>
          <w:highlight w:val="none"/>
          <w:lang w:val="en-US" w:eastAsia="zh-CN"/>
        </w:rPr>
        <w:t>防范政府债务风险。</w:t>
      </w:r>
    </w:p>
    <w:p w14:paraId="7EBEB01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eastAsia="仿宋"/>
          <w:sz w:val="32"/>
          <w:highlight w:val="none"/>
          <w:lang w:val="en-US" w:eastAsia="zh-CN"/>
        </w:rPr>
      </w:pPr>
      <w:r>
        <w:rPr>
          <w:rFonts w:hint="eastAsia" w:ascii="宋体" w:hAnsi="宋体" w:eastAsia="仿宋"/>
          <w:sz w:val="32"/>
          <w:highlight w:val="none"/>
          <w:lang w:val="en-US" w:eastAsia="zh-CN"/>
        </w:rPr>
        <w:t>(十)监督检查财政资金的运行及财政法规、政策的执行情况</w:t>
      </w:r>
      <w:r>
        <w:rPr>
          <w:rFonts w:hint="default" w:ascii="宋体" w:hAnsi="宋体" w:eastAsia="仿宋"/>
          <w:sz w:val="32"/>
          <w:highlight w:val="none"/>
          <w:lang w:eastAsia="zh-CN"/>
        </w:rPr>
        <w:t>，</w:t>
      </w:r>
      <w:r>
        <w:rPr>
          <w:rFonts w:hint="eastAsia" w:ascii="宋体" w:hAnsi="宋体" w:eastAsia="仿宋"/>
          <w:sz w:val="32"/>
          <w:highlight w:val="none"/>
          <w:lang w:val="en-US" w:eastAsia="zh-CN"/>
        </w:rPr>
        <w:t>反映财政收支管理中的重大问题</w:t>
      </w:r>
      <w:r>
        <w:rPr>
          <w:rFonts w:hint="default" w:ascii="宋体" w:hAnsi="宋体" w:eastAsia="仿宋"/>
          <w:sz w:val="32"/>
          <w:highlight w:val="none"/>
          <w:lang w:eastAsia="zh-CN"/>
        </w:rPr>
        <w:t>，</w:t>
      </w:r>
      <w:r>
        <w:rPr>
          <w:rFonts w:hint="eastAsia" w:ascii="宋体" w:hAnsi="宋体" w:eastAsia="仿宋"/>
          <w:sz w:val="32"/>
          <w:highlight w:val="none"/>
          <w:lang w:val="en-US" w:eastAsia="zh-CN"/>
        </w:rPr>
        <w:t>提出加强财政管理的意见建议。</w:t>
      </w:r>
    </w:p>
    <w:p w14:paraId="66B71B3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eastAsia="仿宋"/>
          <w:sz w:val="32"/>
          <w:highlight w:val="none"/>
          <w:lang w:val="en-US" w:eastAsia="zh-CN"/>
        </w:rPr>
      </w:pPr>
      <w:r>
        <w:rPr>
          <w:rFonts w:hint="eastAsia" w:ascii="宋体" w:hAnsi="宋体" w:eastAsia="仿宋"/>
          <w:sz w:val="32"/>
          <w:highlight w:val="none"/>
          <w:lang w:val="en-US" w:eastAsia="zh-CN"/>
        </w:rPr>
        <w:t>(十一)贯彻落实国家和省市有关政府采购的规定要求</w:t>
      </w:r>
      <w:r>
        <w:rPr>
          <w:rFonts w:hint="default" w:ascii="宋体" w:hAnsi="宋体" w:eastAsia="仿宋"/>
          <w:sz w:val="32"/>
          <w:highlight w:val="none"/>
          <w:lang w:eastAsia="zh-CN"/>
        </w:rPr>
        <w:t>，</w:t>
      </w:r>
      <w:r>
        <w:rPr>
          <w:rFonts w:hint="eastAsia" w:ascii="宋体" w:hAnsi="宋体" w:eastAsia="仿宋"/>
          <w:sz w:val="32"/>
          <w:highlight w:val="none"/>
          <w:lang w:val="en-US" w:eastAsia="zh-CN"/>
        </w:rPr>
        <w:t>负责拟订执行区级政府采购有关政策规章制度和有关指导性文件</w:t>
      </w:r>
      <w:r>
        <w:rPr>
          <w:rFonts w:hint="default" w:ascii="宋体" w:hAnsi="宋体" w:eastAsia="仿宋"/>
          <w:sz w:val="32"/>
          <w:highlight w:val="none"/>
          <w:lang w:eastAsia="zh-CN"/>
        </w:rPr>
        <w:t>；</w:t>
      </w:r>
      <w:r>
        <w:rPr>
          <w:rFonts w:hint="eastAsia" w:ascii="宋体" w:hAnsi="宋体" w:eastAsia="仿宋"/>
          <w:sz w:val="32"/>
          <w:highlight w:val="none"/>
          <w:lang w:val="en-US" w:eastAsia="zh-CN"/>
        </w:rPr>
        <w:t>按照有关规定要求</w:t>
      </w:r>
      <w:r>
        <w:rPr>
          <w:rFonts w:hint="default" w:ascii="宋体" w:hAnsi="宋体" w:eastAsia="仿宋"/>
          <w:sz w:val="32"/>
          <w:highlight w:val="none"/>
          <w:lang w:eastAsia="zh-CN"/>
        </w:rPr>
        <w:t>，</w:t>
      </w:r>
      <w:r>
        <w:rPr>
          <w:rFonts w:hint="eastAsia" w:ascii="宋体" w:hAnsi="宋体" w:eastAsia="仿宋"/>
          <w:sz w:val="32"/>
          <w:highlight w:val="none"/>
          <w:lang w:val="en-US" w:eastAsia="zh-CN"/>
        </w:rPr>
        <w:t>开展政府采购审批和其他有关工作。</w:t>
      </w:r>
    </w:p>
    <w:p w14:paraId="7EF5E3B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eastAsia="仿宋"/>
          <w:sz w:val="32"/>
          <w:highlight w:val="none"/>
          <w:lang w:val="en-US" w:eastAsia="zh-CN"/>
        </w:rPr>
      </w:pPr>
      <w:r>
        <w:rPr>
          <w:rFonts w:hint="eastAsia" w:ascii="宋体" w:hAnsi="宋体" w:eastAsia="仿宋"/>
          <w:sz w:val="32"/>
          <w:highlight w:val="none"/>
          <w:lang w:val="en-US" w:eastAsia="zh-CN"/>
        </w:rPr>
        <w:t>(十二)负责全区工资统发管理工作</w:t>
      </w:r>
      <w:r>
        <w:rPr>
          <w:rFonts w:hint="default" w:ascii="宋体" w:hAnsi="宋体" w:eastAsia="仿宋"/>
          <w:sz w:val="32"/>
          <w:highlight w:val="none"/>
          <w:lang w:eastAsia="zh-CN"/>
        </w:rPr>
        <w:t>，</w:t>
      </w:r>
      <w:r>
        <w:rPr>
          <w:rFonts w:hint="eastAsia" w:ascii="宋体" w:hAnsi="宋体" w:eastAsia="仿宋"/>
          <w:sz w:val="32"/>
          <w:highlight w:val="none"/>
          <w:lang w:val="en-US" w:eastAsia="zh-CN"/>
        </w:rPr>
        <w:t>规范工资统发工作流程</w:t>
      </w:r>
      <w:r>
        <w:rPr>
          <w:rFonts w:hint="default" w:ascii="宋体" w:hAnsi="宋体" w:eastAsia="仿宋"/>
          <w:sz w:val="32"/>
          <w:highlight w:val="none"/>
          <w:lang w:eastAsia="zh-CN"/>
        </w:rPr>
        <w:t>；</w:t>
      </w:r>
      <w:r>
        <w:rPr>
          <w:rFonts w:hint="eastAsia" w:ascii="宋体" w:hAnsi="宋体" w:eastAsia="仿宋"/>
          <w:sz w:val="32"/>
          <w:highlight w:val="none"/>
          <w:lang w:val="en-US" w:eastAsia="zh-CN"/>
        </w:rPr>
        <w:t>负责建立健全工资统发工作档案</w:t>
      </w:r>
      <w:r>
        <w:rPr>
          <w:rFonts w:hint="default" w:ascii="宋体" w:hAnsi="宋体" w:eastAsia="仿宋"/>
          <w:sz w:val="32"/>
          <w:highlight w:val="none"/>
          <w:lang w:eastAsia="zh-CN"/>
        </w:rPr>
        <w:t>；</w:t>
      </w:r>
      <w:r>
        <w:rPr>
          <w:rFonts w:hint="eastAsia" w:ascii="宋体" w:hAnsi="宋体" w:eastAsia="仿宋"/>
          <w:sz w:val="32"/>
          <w:highlight w:val="none"/>
          <w:lang w:val="en-US" w:eastAsia="zh-CN"/>
        </w:rPr>
        <w:t>负责协调与工资代发银行的业务关系和及时解决工资统发过程中存在的问题。</w:t>
      </w:r>
    </w:p>
    <w:p w14:paraId="257BC2C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eastAsia="仿宋"/>
          <w:sz w:val="32"/>
          <w:highlight w:val="none"/>
          <w:lang w:val="en-US" w:eastAsia="zh-CN"/>
        </w:rPr>
      </w:pPr>
      <w:r>
        <w:rPr>
          <w:rFonts w:hint="eastAsia" w:ascii="宋体" w:hAnsi="宋体" w:eastAsia="仿宋"/>
          <w:sz w:val="32"/>
          <w:highlight w:val="none"/>
          <w:lang w:val="en-US" w:eastAsia="zh-CN"/>
        </w:rPr>
        <w:t>(十三)组织开展纳入集中核算单位的会计核算和预决算工作。</w:t>
      </w:r>
    </w:p>
    <w:p w14:paraId="3A58A11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eastAsia="仿宋"/>
          <w:sz w:val="32"/>
          <w:highlight w:val="none"/>
          <w:lang w:val="en-US" w:eastAsia="zh-CN"/>
        </w:rPr>
      </w:pPr>
      <w:r>
        <w:rPr>
          <w:rFonts w:hint="eastAsia" w:ascii="宋体" w:hAnsi="宋体" w:eastAsia="仿宋"/>
          <w:sz w:val="32"/>
          <w:highlight w:val="none"/>
          <w:lang w:val="en-US" w:eastAsia="zh-CN"/>
        </w:rPr>
        <w:t>(十四)按照有关规定组织开展辖区内财政投资评审和财政支出绩效评价工作。</w:t>
      </w:r>
    </w:p>
    <w:p w14:paraId="329BEAD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eastAsia="仿宋"/>
          <w:sz w:val="32"/>
          <w:highlight w:val="none"/>
          <w:lang w:val="en-US" w:eastAsia="zh-CN"/>
        </w:rPr>
      </w:pPr>
      <w:r>
        <w:rPr>
          <w:rFonts w:hint="eastAsia" w:ascii="宋体" w:hAnsi="宋体" w:eastAsia="仿宋"/>
          <w:sz w:val="32"/>
          <w:highlight w:val="none"/>
          <w:lang w:val="en-US" w:eastAsia="zh-CN"/>
        </w:rPr>
        <w:t>(十五)承担组织实施全区金融服务职责。</w:t>
      </w:r>
    </w:p>
    <w:p w14:paraId="2C15FA2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sz w:val="32"/>
          <w:highlight w:val="none"/>
        </w:rPr>
      </w:pPr>
      <w:r>
        <w:rPr>
          <w:rFonts w:hint="eastAsia" w:ascii="宋体" w:hAnsi="宋体" w:eastAsia="仿宋"/>
          <w:sz w:val="32"/>
          <w:highlight w:val="none"/>
          <w:lang w:val="en-US" w:eastAsia="zh-CN"/>
        </w:rPr>
        <w:t>(十六)完成区委、区政府交办和上级部门要求的其他任务。</w:t>
      </w:r>
    </w:p>
    <w:p w14:paraId="537D2D11">
      <w:pPr>
        <w:ind w:firstLine="640" w:firstLineChars="200"/>
        <w:rPr>
          <w:rFonts w:hint="eastAsia" w:ascii="Times New Roman" w:hAnsi="Times New Roman" w:eastAsia="黑体"/>
          <w:sz w:val="32"/>
          <w:highlight w:val="none"/>
        </w:rPr>
      </w:pPr>
      <w:r>
        <w:rPr>
          <w:rFonts w:hint="eastAsia" w:ascii="Times New Roman" w:hAnsi="Times New Roman" w:eastAsia="黑体"/>
          <w:sz w:val="32"/>
          <w:highlight w:val="none"/>
        </w:rPr>
        <w:t>二、机构设置及部门决算单位构成</w:t>
      </w:r>
    </w:p>
    <w:p w14:paraId="29ECEA7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eastAsia="仿宋"/>
          <w:sz w:val="32"/>
          <w:highlight w:val="none"/>
          <w:lang w:val="en-US" w:eastAsia="zh-CN"/>
        </w:rPr>
      </w:pPr>
      <w:r>
        <w:rPr>
          <w:rFonts w:hint="eastAsia" w:ascii="宋体" w:hAnsi="宋体" w:eastAsia="仿宋"/>
          <w:sz w:val="32"/>
          <w:highlight w:val="none"/>
          <w:lang w:val="en-US" w:eastAsia="zh-CN"/>
        </w:rPr>
        <w:t>根据上述职责，二道区财政局内设5个机构。分别为办公室（加挂内控建设及国资监管指导科、金融工作科牌子）、综合科（加挂非税收入管理科牌子）、预算科（加挂国库科牌子）、行财科（加挂采购办牌子）、社会保障科。</w:t>
      </w:r>
    </w:p>
    <w:p w14:paraId="30C9195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eastAsia="仿宋"/>
          <w:sz w:val="32"/>
          <w:highlight w:val="none"/>
          <w:lang w:val="en-US" w:eastAsia="zh-CN"/>
        </w:rPr>
      </w:pPr>
      <w:r>
        <w:rPr>
          <w:rFonts w:hint="eastAsia" w:ascii="宋体" w:hAnsi="宋体" w:eastAsia="仿宋"/>
          <w:sz w:val="32"/>
          <w:highlight w:val="none"/>
          <w:lang w:val="en-US" w:eastAsia="zh-CN"/>
        </w:rPr>
        <w:t>纳入长春市二道区财政局2024年度部门决算编制范围的单位包括：</w:t>
      </w:r>
    </w:p>
    <w:p w14:paraId="279A8A5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eastAsia="仿宋"/>
          <w:sz w:val="32"/>
          <w:highlight w:val="none"/>
          <w:lang w:val="en-US" w:eastAsia="zh-CN"/>
        </w:rPr>
      </w:pPr>
      <w:r>
        <w:rPr>
          <w:rFonts w:hint="eastAsia" w:ascii="宋体" w:hAnsi="宋体" w:eastAsia="仿宋"/>
          <w:sz w:val="32"/>
          <w:highlight w:val="none"/>
          <w:lang w:val="en-US" w:eastAsia="zh-CN"/>
        </w:rPr>
        <w:t>长春市二道区财政局（本级）。</w:t>
      </w:r>
    </w:p>
    <w:p w14:paraId="230C4DF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宋体" w:hAnsi="宋体" w:eastAsia="仿宋"/>
          <w:sz w:val="32"/>
          <w:highlight w:val="none"/>
          <w:lang w:val="en-US"/>
        </w:rPr>
      </w:pPr>
      <w:r>
        <w:rPr>
          <w:rFonts w:hint="eastAsia" w:ascii="宋体" w:hAnsi="宋体" w:eastAsia="仿宋"/>
          <w:sz w:val="32"/>
          <w:highlight w:val="none"/>
          <w:lang w:val="en-US" w:eastAsia="zh-CN"/>
        </w:rPr>
        <w:t>2025年实有人员53人，其中在职人员42人，离、退休人员11人。</w:t>
      </w:r>
    </w:p>
    <w:p w14:paraId="63B278CD">
      <w:pPr>
        <w:ind w:firstLine="640" w:firstLineChars="200"/>
        <w:jc w:val="left"/>
        <w:rPr>
          <w:rFonts w:ascii="Times New Roman" w:hAnsi="Times New Roman" w:eastAsia="仿宋_GB2312"/>
          <w:color w:val="FF0000"/>
          <w:sz w:val="32"/>
          <w:szCs w:val="32"/>
          <w:highlight w:val="none"/>
        </w:rPr>
      </w:pPr>
    </w:p>
    <w:p w14:paraId="4721D673">
      <w:pPr>
        <w:pStyle w:val="4"/>
        <w:rPr>
          <w:rFonts w:hint="eastAsia" w:ascii="Times New Roman" w:hAnsi="Times New Roman"/>
        </w:rPr>
      </w:pPr>
    </w:p>
    <w:p w14:paraId="7F8C5C76">
      <w:pPr>
        <w:jc w:val="center"/>
        <w:rPr>
          <w:rFonts w:hint="eastAsia" w:ascii="Times New Roman" w:hAnsi="Times New Roman" w:eastAsia="方正小标宋简体"/>
          <w:sz w:val="44"/>
          <w:highlight w:val="none"/>
        </w:rPr>
      </w:pPr>
      <w:r>
        <w:rPr>
          <w:rFonts w:hint="eastAsia" w:ascii="Times New Roman" w:hAnsi="Times New Roman" w:eastAsia="方正小标宋简体"/>
          <w:sz w:val="44"/>
          <w:highlight w:val="none"/>
        </w:rPr>
        <w:br w:type="page"/>
      </w:r>
      <w:r>
        <w:rPr>
          <w:rFonts w:hint="eastAsia" w:ascii="Times New Roman" w:hAnsi="Times New Roman" w:eastAsia="方正小标宋简体"/>
          <w:sz w:val="44"/>
          <w:highlight w:val="none"/>
        </w:rPr>
        <w:t>第二部分 202</w:t>
      </w:r>
      <w:r>
        <w:rPr>
          <w:rFonts w:hint="eastAsia" w:ascii="Times New Roman" w:hAnsi="Times New Roman" w:eastAsia="方正小标宋简体"/>
          <w:sz w:val="44"/>
          <w:highlight w:val="none"/>
          <w:lang w:val="en-US" w:eastAsia="zh-CN"/>
        </w:rPr>
        <w:t>5</w:t>
      </w:r>
      <w:r>
        <w:rPr>
          <w:rFonts w:hint="eastAsia" w:ascii="Times New Roman" w:hAnsi="Times New Roman" w:eastAsia="方正小标宋简体"/>
          <w:sz w:val="44"/>
          <w:highlight w:val="none"/>
        </w:rPr>
        <w:t>年度部门决算表</w:t>
      </w:r>
    </w:p>
    <w:p w14:paraId="25FC7531">
      <w:pPr>
        <w:jc w:val="center"/>
        <w:rPr>
          <w:rFonts w:hint="eastAsia" w:ascii="Times New Roman" w:hAnsi="Times New Roman" w:eastAsia="仿宋_GB2312"/>
          <w:sz w:val="44"/>
          <w:highlight w:val="none"/>
        </w:rPr>
      </w:pPr>
    </w:p>
    <w:p w14:paraId="0D61D6E4">
      <w:pPr>
        <w:numPr>
          <w:ilvl w:val="0"/>
          <w:numId w:val="1"/>
        </w:numPr>
        <w:ind w:firstLine="640" w:firstLineChars="200"/>
        <w:rPr>
          <w:rFonts w:hint="eastAsia" w:ascii="Times New Roman" w:hAnsi="Times New Roman" w:eastAsia="黑体"/>
          <w:sz w:val="32"/>
          <w:highlight w:val="none"/>
        </w:rPr>
      </w:pPr>
      <w:r>
        <w:rPr>
          <w:rFonts w:hint="eastAsia" w:ascii="Times New Roman" w:hAnsi="Times New Roman" w:eastAsia="黑体"/>
          <w:sz w:val="32"/>
          <w:highlight w:val="none"/>
        </w:rPr>
        <w:t>收入支出决算总表</w:t>
      </w:r>
    </w:p>
    <w:p w14:paraId="0597C01B">
      <w:pPr>
        <w:jc w:val="center"/>
        <w:rPr>
          <w:rFonts w:ascii="Times New Roman" w:hAnsi="Times New Roman"/>
          <w:highlight w:val="none"/>
        </w:rPr>
      </w:pPr>
      <w:r>
        <w:drawing>
          <wp:inline distT="0" distB="0" distL="114300" distR="114300">
            <wp:extent cx="5504180" cy="4822825"/>
            <wp:effectExtent l="0" t="0" r="0" b="0"/>
            <wp:docPr id="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5"/>
                    <pic:cNvPicPr>
                      <a:picLocks noChangeAspect="1"/>
                    </pic:cNvPicPr>
                  </pic:nvPicPr>
                  <pic:blipFill>
                    <a:blip r:embed="rId6"/>
                    <a:srcRect l="9991" t="23677" r="37685" b="19016"/>
                    <a:stretch>
                      <a:fillRect/>
                    </a:stretch>
                  </pic:blipFill>
                  <pic:spPr>
                    <a:xfrm>
                      <a:off x="0" y="0"/>
                      <a:ext cx="5504180" cy="4822825"/>
                    </a:xfrm>
                    <a:prstGeom prst="rect">
                      <a:avLst/>
                    </a:prstGeom>
                    <a:noFill/>
                    <a:ln>
                      <a:noFill/>
                    </a:ln>
                  </pic:spPr>
                </pic:pic>
              </a:graphicData>
            </a:graphic>
          </wp:inline>
        </w:drawing>
      </w:r>
    </w:p>
    <w:p w14:paraId="3B3BFD56">
      <w:pPr>
        <w:ind w:firstLine="640" w:firstLineChars="200"/>
        <w:rPr>
          <w:rFonts w:ascii="Times New Roman" w:hAnsi="Times New Roman" w:eastAsia="仿宋_GB2312"/>
          <w:color w:val="FF0000"/>
          <w:sz w:val="32"/>
          <w:szCs w:val="32"/>
          <w:highlight w:val="none"/>
        </w:rPr>
      </w:pPr>
    </w:p>
    <w:p w14:paraId="218E1A96">
      <w:pPr>
        <w:ind w:firstLine="640" w:firstLineChars="200"/>
        <w:rPr>
          <w:rFonts w:ascii="Times New Roman" w:hAnsi="Times New Roman" w:eastAsia="黑体"/>
          <w:sz w:val="32"/>
          <w:highlight w:val="none"/>
        </w:rPr>
      </w:pPr>
    </w:p>
    <w:p w14:paraId="03381CD1">
      <w:pPr>
        <w:ind w:firstLine="640" w:firstLineChars="200"/>
        <w:rPr>
          <w:rFonts w:ascii="Times New Roman" w:hAnsi="Times New Roman" w:eastAsia="黑体"/>
          <w:sz w:val="32"/>
          <w:highlight w:val="none"/>
        </w:rPr>
      </w:pPr>
    </w:p>
    <w:p w14:paraId="5062AB4D">
      <w:pPr>
        <w:ind w:firstLine="640" w:firstLineChars="200"/>
        <w:rPr>
          <w:rFonts w:ascii="Times New Roman" w:hAnsi="Times New Roman" w:eastAsia="黑体"/>
          <w:sz w:val="32"/>
          <w:highlight w:val="none"/>
        </w:rPr>
      </w:pPr>
    </w:p>
    <w:p w14:paraId="6E702CF3">
      <w:pPr>
        <w:ind w:firstLine="640" w:firstLineChars="200"/>
        <w:rPr>
          <w:rFonts w:ascii="Times New Roman" w:hAnsi="Times New Roman" w:eastAsia="黑体"/>
          <w:sz w:val="32"/>
          <w:highlight w:val="none"/>
        </w:rPr>
      </w:pPr>
    </w:p>
    <w:p w14:paraId="788F7E58">
      <w:pPr>
        <w:ind w:firstLine="640" w:firstLineChars="200"/>
        <w:rPr>
          <w:rFonts w:ascii="Times New Roman" w:hAnsi="Times New Roman" w:eastAsia="黑体"/>
          <w:sz w:val="32"/>
          <w:highlight w:val="none"/>
        </w:rPr>
      </w:pPr>
    </w:p>
    <w:p w14:paraId="2D7CD1AB">
      <w:pPr>
        <w:ind w:firstLine="640" w:firstLineChars="200"/>
        <w:rPr>
          <w:rFonts w:ascii="Times New Roman" w:hAnsi="Times New Roman" w:eastAsia="黑体"/>
          <w:sz w:val="32"/>
          <w:highlight w:val="none"/>
        </w:rPr>
      </w:pPr>
    </w:p>
    <w:p w14:paraId="4F398EE7">
      <w:pPr>
        <w:ind w:firstLine="640" w:firstLineChars="200"/>
        <w:rPr>
          <w:rFonts w:ascii="Times New Roman" w:hAnsi="Times New Roman" w:eastAsia="黑体"/>
          <w:sz w:val="32"/>
          <w:highlight w:val="none"/>
        </w:rPr>
      </w:pPr>
    </w:p>
    <w:p w14:paraId="6E474323">
      <w:pPr>
        <w:ind w:firstLine="640" w:firstLineChars="200"/>
        <w:rPr>
          <w:rFonts w:ascii="Times New Roman" w:hAnsi="Times New Roman" w:eastAsia="黑体"/>
          <w:sz w:val="32"/>
          <w:highlight w:val="none"/>
        </w:rPr>
      </w:pPr>
    </w:p>
    <w:p w14:paraId="398F90BD">
      <w:pPr>
        <w:ind w:firstLine="640" w:firstLineChars="200"/>
        <w:rPr>
          <w:rFonts w:ascii="Times New Roman" w:hAnsi="Times New Roman" w:eastAsia="黑体"/>
          <w:sz w:val="32"/>
          <w:highlight w:val="none"/>
        </w:rPr>
      </w:pPr>
    </w:p>
    <w:p w14:paraId="663ABBF6">
      <w:pPr>
        <w:ind w:firstLine="640" w:firstLineChars="200"/>
        <w:rPr>
          <w:rFonts w:ascii="Times New Roman" w:hAnsi="Times New Roman" w:eastAsia="黑体"/>
          <w:sz w:val="32"/>
          <w:highlight w:val="none"/>
        </w:rPr>
      </w:pPr>
    </w:p>
    <w:p w14:paraId="3A369A24">
      <w:pPr>
        <w:ind w:firstLine="640" w:firstLineChars="200"/>
        <w:rPr>
          <w:rFonts w:ascii="Times New Roman" w:hAnsi="Times New Roman" w:eastAsia="黑体"/>
          <w:sz w:val="32"/>
          <w:highlight w:val="none"/>
        </w:rPr>
      </w:pPr>
    </w:p>
    <w:p w14:paraId="58C380A9">
      <w:pPr>
        <w:ind w:firstLine="640" w:firstLineChars="200"/>
        <w:rPr>
          <w:rFonts w:ascii="Times New Roman" w:hAnsi="Times New Roman" w:eastAsia="黑体"/>
          <w:sz w:val="32"/>
          <w:highlight w:val="none"/>
        </w:rPr>
      </w:pPr>
    </w:p>
    <w:p w14:paraId="6FA675F0">
      <w:pPr>
        <w:ind w:firstLine="640" w:firstLineChars="200"/>
        <w:rPr>
          <w:rFonts w:hint="eastAsia" w:ascii="Times New Roman" w:hAnsi="Times New Roman" w:eastAsia="黑体"/>
          <w:sz w:val="32"/>
          <w:highlight w:val="none"/>
        </w:rPr>
      </w:pPr>
      <w:r>
        <w:rPr>
          <w:rFonts w:hint="eastAsia" w:ascii="Times New Roman" w:hAnsi="Times New Roman" w:eastAsia="黑体"/>
          <w:sz w:val="32"/>
          <w:highlight w:val="none"/>
        </w:rPr>
        <w:t>二、收入决算表</w:t>
      </w:r>
    </w:p>
    <w:p w14:paraId="59571766">
      <w:pPr>
        <w:jc w:val="center"/>
        <w:rPr>
          <w:rFonts w:hint="eastAsia" w:ascii="Times New Roman" w:hAnsi="Times New Roman" w:eastAsia="仿宋_GB2312"/>
          <w:color w:val="FF0000"/>
          <w:sz w:val="32"/>
          <w:szCs w:val="32"/>
          <w:highlight w:val="none"/>
          <w:lang w:eastAsia="zh-CN"/>
        </w:rPr>
      </w:pPr>
      <w:r>
        <w:rPr>
          <w:rFonts w:hint="eastAsia" w:ascii="Times New Roman" w:hAnsi="Times New Roman" w:eastAsia="仿宋_GB2312"/>
          <w:color w:val="FF0000"/>
          <w:sz w:val="32"/>
          <w:szCs w:val="32"/>
          <w:highlight w:val="none"/>
          <w:lang w:eastAsia="zh-CN"/>
        </w:rPr>
        <w:drawing>
          <wp:anchor distT="0" distB="0" distL="114935" distR="114935" simplePos="0" relativeHeight="251659264" behindDoc="0" locked="0" layoutInCell="1" allowOverlap="1">
            <wp:simplePos x="0" y="0"/>
            <wp:positionH relativeFrom="column">
              <wp:posOffset>-381000</wp:posOffset>
            </wp:positionH>
            <wp:positionV relativeFrom="paragraph">
              <wp:posOffset>0</wp:posOffset>
            </wp:positionV>
            <wp:extent cx="6069965" cy="2099310"/>
            <wp:effectExtent l="0" t="0" r="6985" b="15240"/>
            <wp:wrapTopAndBottom/>
            <wp:docPr id="12" name="图片 12" descr="02c55a80-f8b1-4fa3-808f-458b9240ab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02c55a80-f8b1-4fa3-808f-458b9240ab54"/>
                    <pic:cNvPicPr>
                      <a:picLocks noChangeAspect="1"/>
                    </pic:cNvPicPr>
                  </pic:nvPicPr>
                  <pic:blipFill>
                    <a:blip r:embed="rId7"/>
                    <a:stretch>
                      <a:fillRect/>
                    </a:stretch>
                  </pic:blipFill>
                  <pic:spPr>
                    <a:xfrm>
                      <a:off x="0" y="0"/>
                      <a:ext cx="6069965" cy="2099310"/>
                    </a:xfrm>
                    <a:prstGeom prst="rect">
                      <a:avLst/>
                    </a:prstGeom>
                  </pic:spPr>
                </pic:pic>
              </a:graphicData>
            </a:graphic>
          </wp:anchor>
        </w:drawing>
      </w:r>
    </w:p>
    <w:p w14:paraId="3F60BCCF">
      <w:pPr>
        <w:ind w:firstLine="640" w:firstLineChars="200"/>
        <w:rPr>
          <w:rFonts w:ascii="Times New Roman" w:hAnsi="Times New Roman" w:eastAsia="仿宋_GB2312"/>
          <w:color w:val="FF0000"/>
          <w:sz w:val="32"/>
          <w:szCs w:val="32"/>
          <w:highlight w:val="none"/>
        </w:rPr>
      </w:pPr>
    </w:p>
    <w:p w14:paraId="6EB6914E">
      <w:pPr>
        <w:ind w:firstLine="640" w:firstLineChars="200"/>
        <w:rPr>
          <w:rFonts w:ascii="Times New Roman" w:hAnsi="Times New Roman" w:eastAsia="黑体"/>
          <w:sz w:val="32"/>
          <w:highlight w:val="none"/>
        </w:rPr>
      </w:pPr>
    </w:p>
    <w:p w14:paraId="1D09E276">
      <w:pPr>
        <w:ind w:firstLine="640" w:firstLineChars="200"/>
        <w:rPr>
          <w:rFonts w:ascii="Times New Roman" w:hAnsi="Times New Roman" w:eastAsia="黑体"/>
          <w:sz w:val="32"/>
          <w:highlight w:val="none"/>
        </w:rPr>
      </w:pPr>
    </w:p>
    <w:p w14:paraId="764A3218">
      <w:pPr>
        <w:pStyle w:val="4"/>
        <w:rPr>
          <w:rFonts w:ascii="Times New Roman" w:hAnsi="Times New Roman"/>
        </w:rPr>
      </w:pPr>
    </w:p>
    <w:p w14:paraId="2A039333">
      <w:pPr>
        <w:ind w:firstLine="640" w:firstLineChars="200"/>
        <w:rPr>
          <w:rFonts w:hint="eastAsia" w:ascii="Times New Roman" w:hAnsi="Times New Roman" w:eastAsia="黑体"/>
          <w:sz w:val="32"/>
          <w:highlight w:val="none"/>
        </w:rPr>
      </w:pPr>
      <w:r>
        <w:rPr>
          <w:rFonts w:hint="eastAsia" w:ascii="Times New Roman" w:hAnsi="Times New Roman" w:eastAsia="黑体"/>
          <w:sz w:val="32"/>
          <w:highlight w:val="none"/>
        </w:rPr>
        <w:t>三、支出决算表</w:t>
      </w:r>
    </w:p>
    <w:p w14:paraId="58870BB5">
      <w:pPr>
        <w:jc w:val="center"/>
        <w:rPr>
          <w:rFonts w:hint="eastAsia" w:ascii="Times New Roman" w:hAnsi="Times New Roman" w:eastAsia="仿宋_GB2312"/>
          <w:color w:val="FF0000"/>
          <w:sz w:val="32"/>
          <w:szCs w:val="32"/>
          <w:highlight w:val="none"/>
          <w:lang w:eastAsia="zh-CN"/>
        </w:rPr>
      </w:pPr>
      <w:r>
        <w:rPr>
          <w:rFonts w:hint="eastAsia" w:ascii="Times New Roman" w:hAnsi="Times New Roman" w:eastAsia="仿宋_GB2312"/>
          <w:color w:val="FF0000"/>
          <w:sz w:val="32"/>
          <w:szCs w:val="32"/>
          <w:highlight w:val="none"/>
          <w:lang w:eastAsia="zh-CN"/>
        </w:rPr>
        <w:drawing>
          <wp:anchor distT="0" distB="0" distL="114300" distR="114300" simplePos="0" relativeHeight="251660288" behindDoc="0" locked="0" layoutInCell="1" allowOverlap="1">
            <wp:simplePos x="0" y="0"/>
            <wp:positionH relativeFrom="column">
              <wp:posOffset>-333375</wp:posOffset>
            </wp:positionH>
            <wp:positionV relativeFrom="paragraph">
              <wp:posOffset>123825</wp:posOffset>
            </wp:positionV>
            <wp:extent cx="6080760" cy="2082800"/>
            <wp:effectExtent l="0" t="0" r="15240" b="12700"/>
            <wp:wrapTopAndBottom/>
            <wp:docPr id="13" name="图片 13" descr="bc047c60-33ed-4542-9771-9dc472953f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bc047c60-33ed-4542-9771-9dc472953f28"/>
                    <pic:cNvPicPr>
                      <a:picLocks noChangeAspect="1"/>
                    </pic:cNvPicPr>
                  </pic:nvPicPr>
                  <pic:blipFill>
                    <a:blip r:embed="rId8"/>
                    <a:stretch>
                      <a:fillRect/>
                    </a:stretch>
                  </pic:blipFill>
                  <pic:spPr>
                    <a:xfrm>
                      <a:off x="0" y="0"/>
                      <a:ext cx="6080760" cy="2082800"/>
                    </a:xfrm>
                    <a:prstGeom prst="rect">
                      <a:avLst/>
                    </a:prstGeom>
                  </pic:spPr>
                </pic:pic>
              </a:graphicData>
            </a:graphic>
          </wp:anchor>
        </w:drawing>
      </w:r>
    </w:p>
    <w:p w14:paraId="444ABFA1">
      <w:pPr>
        <w:ind w:firstLine="640" w:firstLineChars="200"/>
        <w:rPr>
          <w:rFonts w:ascii="Times New Roman" w:hAnsi="Times New Roman" w:eastAsia="仿宋_GB2312"/>
          <w:color w:val="FF0000"/>
          <w:sz w:val="32"/>
          <w:szCs w:val="32"/>
          <w:highlight w:val="none"/>
        </w:rPr>
      </w:pPr>
    </w:p>
    <w:p w14:paraId="588439E6">
      <w:pPr>
        <w:ind w:firstLine="640" w:firstLineChars="200"/>
        <w:rPr>
          <w:rFonts w:ascii="Times New Roman" w:hAnsi="Times New Roman" w:eastAsia="黑体"/>
          <w:sz w:val="32"/>
          <w:highlight w:val="none"/>
        </w:rPr>
      </w:pPr>
    </w:p>
    <w:p w14:paraId="015C990D">
      <w:pPr>
        <w:ind w:firstLine="640" w:firstLineChars="200"/>
        <w:rPr>
          <w:rFonts w:ascii="Times New Roman" w:hAnsi="Times New Roman" w:eastAsia="黑体"/>
          <w:sz w:val="32"/>
          <w:highlight w:val="none"/>
        </w:rPr>
      </w:pPr>
    </w:p>
    <w:p w14:paraId="29E8D9E5">
      <w:pPr>
        <w:ind w:firstLine="640" w:firstLineChars="200"/>
        <w:rPr>
          <w:rFonts w:ascii="Times New Roman" w:hAnsi="Times New Roman" w:eastAsia="黑体"/>
          <w:sz w:val="32"/>
          <w:highlight w:val="none"/>
        </w:rPr>
      </w:pPr>
    </w:p>
    <w:p w14:paraId="64CF0D1E">
      <w:pPr>
        <w:ind w:firstLine="640" w:firstLineChars="200"/>
        <w:rPr>
          <w:rFonts w:ascii="Times New Roman" w:hAnsi="Times New Roman" w:eastAsia="黑体"/>
          <w:sz w:val="32"/>
          <w:highlight w:val="none"/>
        </w:rPr>
      </w:pPr>
    </w:p>
    <w:p w14:paraId="54F9B27A">
      <w:pPr>
        <w:ind w:firstLine="640" w:firstLineChars="200"/>
        <w:rPr>
          <w:rFonts w:ascii="Times New Roman" w:hAnsi="Times New Roman" w:eastAsia="黑体"/>
          <w:sz w:val="32"/>
          <w:highlight w:val="none"/>
        </w:rPr>
      </w:pPr>
    </w:p>
    <w:p w14:paraId="15247476">
      <w:pPr>
        <w:ind w:firstLine="640" w:firstLineChars="200"/>
        <w:rPr>
          <w:rFonts w:ascii="Times New Roman" w:hAnsi="Times New Roman" w:eastAsia="黑体"/>
          <w:sz w:val="32"/>
          <w:highlight w:val="none"/>
        </w:rPr>
      </w:pPr>
    </w:p>
    <w:p w14:paraId="683DD0F5">
      <w:pPr>
        <w:ind w:firstLine="640" w:firstLineChars="200"/>
        <w:rPr>
          <w:rFonts w:ascii="Times New Roman" w:hAnsi="Times New Roman" w:eastAsia="黑体"/>
          <w:sz w:val="32"/>
          <w:highlight w:val="none"/>
        </w:rPr>
      </w:pPr>
    </w:p>
    <w:p w14:paraId="6D2194E5">
      <w:pPr>
        <w:ind w:firstLine="640" w:firstLineChars="200"/>
        <w:rPr>
          <w:rFonts w:ascii="Times New Roman" w:hAnsi="Times New Roman" w:eastAsia="黑体"/>
          <w:sz w:val="32"/>
          <w:highlight w:val="none"/>
        </w:rPr>
      </w:pPr>
    </w:p>
    <w:p w14:paraId="169BF90E">
      <w:pPr>
        <w:ind w:firstLine="640" w:firstLineChars="200"/>
        <w:rPr>
          <w:rFonts w:ascii="Times New Roman" w:hAnsi="Times New Roman" w:eastAsia="黑体"/>
          <w:sz w:val="32"/>
          <w:highlight w:val="none"/>
        </w:rPr>
      </w:pPr>
    </w:p>
    <w:p w14:paraId="057E5D80">
      <w:pPr>
        <w:ind w:firstLine="640" w:firstLineChars="200"/>
        <w:rPr>
          <w:rFonts w:ascii="Times New Roman" w:hAnsi="Times New Roman" w:eastAsia="黑体"/>
          <w:sz w:val="32"/>
          <w:highlight w:val="none"/>
        </w:rPr>
      </w:pPr>
    </w:p>
    <w:p w14:paraId="284CC01D">
      <w:pPr>
        <w:pStyle w:val="8"/>
        <w:rPr>
          <w:rFonts w:ascii="Times New Roman" w:hAnsi="Times New Roman"/>
        </w:rPr>
      </w:pPr>
    </w:p>
    <w:p w14:paraId="4C21214F">
      <w:pPr>
        <w:ind w:firstLine="640" w:firstLineChars="200"/>
        <w:rPr>
          <w:rFonts w:ascii="Times New Roman" w:hAnsi="Times New Roman" w:eastAsia="黑体"/>
          <w:sz w:val="32"/>
          <w:highlight w:val="none"/>
        </w:rPr>
      </w:pPr>
      <w:r>
        <w:rPr>
          <w:rFonts w:hint="eastAsia" w:ascii="Times New Roman" w:hAnsi="Times New Roman" w:eastAsia="黑体"/>
          <w:sz w:val="32"/>
          <w:highlight w:val="none"/>
        </w:rPr>
        <w:t>四、财政拨款收入支出决算总表</w:t>
      </w:r>
    </w:p>
    <w:p w14:paraId="5D6111F8">
      <w:pPr>
        <w:rPr>
          <w:rFonts w:ascii="Times New Roman" w:hAnsi="Times New Roman"/>
          <w:highlight w:val="none"/>
        </w:rPr>
      </w:pPr>
      <w:r>
        <w:rPr>
          <w:rFonts w:hint="eastAsia" w:ascii="Times New Roman" w:hAnsi="Times New Roman" w:eastAsia="宋体"/>
          <w:highlight w:val="none"/>
          <w:lang w:eastAsia="zh-CN"/>
        </w:rPr>
        <w:drawing>
          <wp:anchor distT="0" distB="0" distL="114300" distR="114300" simplePos="0" relativeHeight="251661312" behindDoc="0" locked="0" layoutInCell="1" allowOverlap="1">
            <wp:simplePos x="0" y="0"/>
            <wp:positionH relativeFrom="column">
              <wp:posOffset>-428625</wp:posOffset>
            </wp:positionH>
            <wp:positionV relativeFrom="paragraph">
              <wp:posOffset>153035</wp:posOffset>
            </wp:positionV>
            <wp:extent cx="6151880" cy="4923155"/>
            <wp:effectExtent l="0" t="0" r="1270" b="10795"/>
            <wp:wrapTopAndBottom/>
            <wp:docPr id="14" name="图片 14" descr="89c44127-4ea5-49bc-bdd3-0afe6c04b8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89c44127-4ea5-49bc-bdd3-0afe6c04b89d"/>
                    <pic:cNvPicPr>
                      <a:picLocks noChangeAspect="1"/>
                    </pic:cNvPicPr>
                  </pic:nvPicPr>
                  <pic:blipFill>
                    <a:blip r:embed="rId9"/>
                    <a:stretch>
                      <a:fillRect/>
                    </a:stretch>
                  </pic:blipFill>
                  <pic:spPr>
                    <a:xfrm>
                      <a:off x="0" y="0"/>
                      <a:ext cx="6151880" cy="4923155"/>
                    </a:xfrm>
                    <a:prstGeom prst="rect">
                      <a:avLst/>
                    </a:prstGeom>
                  </pic:spPr>
                </pic:pic>
              </a:graphicData>
            </a:graphic>
          </wp:anchor>
        </w:drawing>
      </w:r>
    </w:p>
    <w:p w14:paraId="09123A8B">
      <w:pPr>
        <w:rPr>
          <w:rFonts w:hint="eastAsia" w:ascii="Times New Roman" w:hAnsi="Times New Roman" w:eastAsia="宋体"/>
          <w:highlight w:val="none"/>
          <w:lang w:eastAsia="zh-CN"/>
        </w:rPr>
      </w:pPr>
    </w:p>
    <w:p w14:paraId="299E8BA5">
      <w:pPr>
        <w:rPr>
          <w:rFonts w:ascii="Times New Roman" w:hAnsi="Times New Roman"/>
          <w:highlight w:val="none"/>
        </w:rPr>
      </w:pPr>
    </w:p>
    <w:p w14:paraId="2FCE2E59">
      <w:pPr>
        <w:rPr>
          <w:rFonts w:ascii="Times New Roman" w:hAnsi="Times New Roman"/>
          <w:highlight w:val="none"/>
        </w:rPr>
      </w:pPr>
    </w:p>
    <w:p w14:paraId="6CAC253C">
      <w:pPr>
        <w:rPr>
          <w:rFonts w:hint="eastAsia" w:ascii="Times New Roman" w:hAnsi="Times New Roman" w:eastAsia="黑体"/>
          <w:sz w:val="32"/>
          <w:highlight w:val="none"/>
        </w:rPr>
      </w:pPr>
    </w:p>
    <w:p w14:paraId="77F0D0E6">
      <w:pPr>
        <w:rPr>
          <w:rFonts w:hint="eastAsia" w:ascii="Times New Roman" w:hAnsi="Times New Roman" w:eastAsia="仿宋_GB2312"/>
          <w:color w:val="FF0000"/>
          <w:sz w:val="32"/>
          <w:szCs w:val="32"/>
          <w:highlight w:val="none"/>
        </w:rPr>
      </w:pPr>
    </w:p>
    <w:p w14:paraId="43989716">
      <w:pPr>
        <w:ind w:firstLine="640" w:firstLineChars="200"/>
        <w:rPr>
          <w:rFonts w:ascii="Times New Roman" w:hAnsi="Times New Roman" w:eastAsia="黑体"/>
          <w:sz w:val="32"/>
          <w:highlight w:val="none"/>
        </w:rPr>
      </w:pPr>
      <w:r>
        <w:rPr>
          <w:rFonts w:hint="eastAsia" w:eastAsia="仿宋_GB2312"/>
          <w:color w:val="FF0000"/>
          <w:sz w:val="32"/>
          <w:szCs w:val="32"/>
          <w:highlight w:val="none"/>
          <w:lang w:val="en-US" w:eastAsia="zh-CN"/>
        </w:rPr>
        <w:t xml:space="preserve"> </w:t>
      </w:r>
      <w:r>
        <w:rPr>
          <w:rFonts w:ascii="Times New Roman" w:hAnsi="Times New Roman" w:eastAsia="黑体"/>
          <w:sz w:val="32"/>
          <w:highlight w:val="none"/>
        </w:rPr>
        <w:br w:type="page"/>
      </w:r>
      <w:r>
        <w:rPr>
          <w:rFonts w:hint="eastAsia" w:ascii="Times New Roman" w:hAnsi="Times New Roman" w:eastAsia="黑体"/>
          <w:sz w:val="32"/>
          <w:highlight w:val="none"/>
        </w:rPr>
        <w:t>五、一般公共预算财政拨款支出决算表</w:t>
      </w:r>
    </w:p>
    <w:p w14:paraId="28FCE539">
      <w:r>
        <w:rPr>
          <w:rFonts w:hint="eastAsia" w:eastAsia="宋体"/>
          <w:lang w:eastAsia="zh-CN"/>
        </w:rPr>
        <w:drawing>
          <wp:anchor distT="0" distB="0" distL="114300" distR="114300" simplePos="0" relativeHeight="251662336" behindDoc="0" locked="0" layoutInCell="1" allowOverlap="1">
            <wp:simplePos x="0" y="0"/>
            <wp:positionH relativeFrom="column">
              <wp:posOffset>-409575</wp:posOffset>
            </wp:positionH>
            <wp:positionV relativeFrom="paragraph">
              <wp:posOffset>153035</wp:posOffset>
            </wp:positionV>
            <wp:extent cx="6366510" cy="2780665"/>
            <wp:effectExtent l="0" t="0" r="15240" b="635"/>
            <wp:wrapTopAndBottom/>
            <wp:docPr id="15" name="图片 15" descr="0f021e16-7666-4546-9127-3db579e92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0f021e16-7666-4546-9127-3db579e92ced"/>
                    <pic:cNvPicPr>
                      <a:picLocks noChangeAspect="1"/>
                    </pic:cNvPicPr>
                  </pic:nvPicPr>
                  <pic:blipFill>
                    <a:blip r:embed="rId10"/>
                    <a:stretch>
                      <a:fillRect/>
                    </a:stretch>
                  </pic:blipFill>
                  <pic:spPr>
                    <a:xfrm>
                      <a:off x="0" y="0"/>
                      <a:ext cx="6366510" cy="2780665"/>
                    </a:xfrm>
                    <a:prstGeom prst="rect">
                      <a:avLst/>
                    </a:prstGeom>
                  </pic:spPr>
                </pic:pic>
              </a:graphicData>
            </a:graphic>
          </wp:anchor>
        </w:drawing>
      </w:r>
    </w:p>
    <w:p w14:paraId="7AF6F7E4">
      <w:pPr>
        <w:rPr>
          <w:rFonts w:hint="eastAsia" w:eastAsia="宋体"/>
          <w:lang w:eastAsia="zh-CN"/>
        </w:rPr>
      </w:pPr>
    </w:p>
    <w:p w14:paraId="2ACCAB17"/>
    <w:p w14:paraId="3F733723">
      <w:pPr>
        <w:ind w:firstLine="640" w:firstLineChars="200"/>
        <w:rPr>
          <w:rFonts w:ascii="Times New Roman" w:hAnsi="Times New Roman" w:eastAsia="仿宋_GB2312"/>
          <w:color w:val="FF0000"/>
          <w:sz w:val="32"/>
          <w:szCs w:val="32"/>
          <w:highlight w:val="none"/>
        </w:rPr>
      </w:pPr>
    </w:p>
    <w:p w14:paraId="2AB14709">
      <w:pPr>
        <w:ind w:firstLine="640" w:firstLineChars="200"/>
        <w:rPr>
          <w:rFonts w:ascii="Times New Roman" w:hAnsi="Times New Roman" w:eastAsia="黑体"/>
          <w:sz w:val="32"/>
          <w:highlight w:val="none"/>
        </w:rPr>
      </w:pPr>
    </w:p>
    <w:p w14:paraId="1E0AE0C8">
      <w:pPr>
        <w:ind w:firstLine="640" w:firstLineChars="200"/>
        <w:rPr>
          <w:rFonts w:hint="eastAsia" w:ascii="Times New Roman" w:hAnsi="Times New Roman" w:eastAsia="黑体"/>
          <w:sz w:val="32"/>
          <w:highlight w:val="none"/>
        </w:rPr>
      </w:pPr>
      <w:r>
        <w:rPr>
          <w:rFonts w:ascii="Times New Roman" w:hAnsi="Times New Roman" w:eastAsia="黑体"/>
          <w:sz w:val="32"/>
          <w:highlight w:val="none"/>
        </w:rPr>
        <w:br w:type="page"/>
      </w:r>
      <w:r>
        <w:rPr>
          <w:rFonts w:hint="eastAsia" w:ascii="Times New Roman" w:hAnsi="Times New Roman" w:eastAsia="黑体"/>
          <w:sz w:val="32"/>
          <w:highlight w:val="none"/>
        </w:rPr>
        <w:t>六、一般公共预算财政拨款基本支出决算明细表</w:t>
      </w:r>
    </w:p>
    <w:p w14:paraId="5AC5A7B0">
      <w:pPr>
        <w:jc w:val="center"/>
        <w:rPr>
          <w:rFonts w:ascii="Times New Roman" w:hAnsi="Times New Roman"/>
          <w:highlight w:val="none"/>
        </w:rPr>
      </w:pPr>
    </w:p>
    <w:p w14:paraId="2F3F49F5">
      <w:pPr>
        <w:jc w:val="center"/>
        <w:rPr>
          <w:rFonts w:ascii="Times New Roman" w:hAnsi="Times New Roman"/>
          <w:highlight w:val="none"/>
        </w:rPr>
      </w:pPr>
      <w:r>
        <w:rPr>
          <w:rFonts w:hint="eastAsia" w:ascii="Times New Roman" w:hAnsi="Times New Roman" w:eastAsia="宋体"/>
          <w:highlight w:val="none"/>
          <w:lang w:eastAsia="zh-CN"/>
        </w:rPr>
        <w:drawing>
          <wp:anchor distT="0" distB="0" distL="114300" distR="114300" simplePos="0" relativeHeight="251663360" behindDoc="0" locked="0" layoutInCell="1" allowOverlap="1">
            <wp:simplePos x="0" y="0"/>
            <wp:positionH relativeFrom="column">
              <wp:posOffset>-457200</wp:posOffset>
            </wp:positionH>
            <wp:positionV relativeFrom="paragraph">
              <wp:posOffset>153035</wp:posOffset>
            </wp:positionV>
            <wp:extent cx="6562090" cy="4248785"/>
            <wp:effectExtent l="0" t="0" r="10160" b="18415"/>
            <wp:wrapTopAndBottom/>
            <wp:docPr id="16" name="图片 16" descr="fa1c4206-6b98-4fca-b4e2-71efcea03b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a1c4206-6b98-4fca-b4e2-71efcea03bd3"/>
                    <pic:cNvPicPr>
                      <a:picLocks noChangeAspect="1"/>
                    </pic:cNvPicPr>
                  </pic:nvPicPr>
                  <pic:blipFill>
                    <a:blip r:embed="rId11"/>
                    <a:stretch>
                      <a:fillRect/>
                    </a:stretch>
                  </pic:blipFill>
                  <pic:spPr>
                    <a:xfrm>
                      <a:off x="0" y="0"/>
                      <a:ext cx="6562090" cy="4248785"/>
                    </a:xfrm>
                    <a:prstGeom prst="rect">
                      <a:avLst/>
                    </a:prstGeom>
                  </pic:spPr>
                </pic:pic>
              </a:graphicData>
            </a:graphic>
          </wp:anchor>
        </w:drawing>
      </w:r>
    </w:p>
    <w:p w14:paraId="5B0DED67">
      <w:pPr>
        <w:jc w:val="center"/>
        <w:rPr>
          <w:rFonts w:hint="eastAsia" w:ascii="Times New Roman" w:hAnsi="Times New Roman" w:eastAsia="宋体"/>
          <w:highlight w:val="none"/>
          <w:lang w:eastAsia="zh-CN"/>
        </w:rPr>
      </w:pPr>
    </w:p>
    <w:p w14:paraId="16324840">
      <w:pPr>
        <w:ind w:firstLine="640" w:firstLineChars="200"/>
        <w:rPr>
          <w:rFonts w:ascii="Times New Roman" w:hAnsi="Times New Roman" w:eastAsia="仿宋_GB2312"/>
          <w:color w:val="FF0000"/>
          <w:sz w:val="32"/>
          <w:szCs w:val="32"/>
          <w:highlight w:val="none"/>
        </w:rPr>
      </w:pPr>
    </w:p>
    <w:p w14:paraId="694D111F">
      <w:pPr>
        <w:ind w:firstLine="640" w:firstLineChars="200"/>
        <w:rPr>
          <w:rFonts w:ascii="Times New Roman" w:hAnsi="Times New Roman" w:eastAsia="黑体"/>
          <w:sz w:val="32"/>
          <w:highlight w:val="none"/>
        </w:rPr>
      </w:pPr>
    </w:p>
    <w:p w14:paraId="7CB113D2">
      <w:pPr>
        <w:ind w:firstLine="640" w:firstLineChars="200"/>
        <w:rPr>
          <w:rFonts w:ascii="Times New Roman" w:hAnsi="Times New Roman" w:eastAsia="黑体"/>
          <w:sz w:val="32"/>
          <w:highlight w:val="none"/>
        </w:rPr>
      </w:pPr>
    </w:p>
    <w:p w14:paraId="06E8413A">
      <w:pPr>
        <w:ind w:firstLine="640" w:firstLineChars="200"/>
        <w:rPr>
          <w:rFonts w:ascii="Times New Roman" w:hAnsi="Times New Roman" w:eastAsia="黑体"/>
          <w:sz w:val="32"/>
          <w:highlight w:val="none"/>
        </w:rPr>
      </w:pPr>
    </w:p>
    <w:p w14:paraId="3D672F3B">
      <w:pPr>
        <w:ind w:firstLine="640" w:firstLineChars="200"/>
        <w:rPr>
          <w:rFonts w:ascii="Times New Roman" w:hAnsi="Times New Roman" w:eastAsia="黑体"/>
          <w:sz w:val="32"/>
          <w:highlight w:val="none"/>
        </w:rPr>
      </w:pPr>
    </w:p>
    <w:p w14:paraId="6A6DD082">
      <w:pPr>
        <w:ind w:firstLine="640" w:firstLineChars="200"/>
        <w:rPr>
          <w:rFonts w:ascii="Times New Roman" w:hAnsi="Times New Roman" w:eastAsia="黑体"/>
          <w:sz w:val="32"/>
          <w:highlight w:val="none"/>
        </w:rPr>
      </w:pPr>
    </w:p>
    <w:p w14:paraId="105B58FF">
      <w:pPr>
        <w:ind w:firstLine="640" w:firstLineChars="200"/>
        <w:rPr>
          <w:rFonts w:ascii="Times New Roman" w:hAnsi="Times New Roman" w:eastAsia="黑体"/>
          <w:sz w:val="32"/>
          <w:highlight w:val="none"/>
        </w:rPr>
      </w:pPr>
    </w:p>
    <w:p w14:paraId="292A10E7">
      <w:pPr>
        <w:ind w:firstLine="640" w:firstLineChars="200"/>
        <w:rPr>
          <w:rFonts w:ascii="Times New Roman" w:hAnsi="Times New Roman" w:eastAsia="黑体"/>
          <w:sz w:val="32"/>
          <w:highlight w:val="none"/>
        </w:rPr>
      </w:pPr>
    </w:p>
    <w:p w14:paraId="2A0390D1">
      <w:pPr>
        <w:ind w:firstLine="640" w:firstLineChars="200"/>
        <w:rPr>
          <w:rFonts w:ascii="Times New Roman" w:hAnsi="Times New Roman" w:eastAsia="黑体"/>
          <w:sz w:val="32"/>
          <w:highlight w:val="none"/>
        </w:rPr>
      </w:pPr>
    </w:p>
    <w:p w14:paraId="5F16AC10">
      <w:pPr>
        <w:ind w:firstLine="640" w:firstLineChars="200"/>
        <w:rPr>
          <w:rFonts w:ascii="Times New Roman" w:hAnsi="Times New Roman" w:eastAsia="黑体"/>
          <w:sz w:val="32"/>
          <w:highlight w:val="none"/>
        </w:rPr>
      </w:pPr>
    </w:p>
    <w:p w14:paraId="245FBD0F">
      <w:pPr>
        <w:ind w:firstLine="640" w:firstLineChars="200"/>
        <w:rPr>
          <w:rFonts w:ascii="Times New Roman" w:hAnsi="Times New Roman" w:eastAsia="黑体"/>
          <w:sz w:val="32"/>
          <w:highlight w:val="none"/>
        </w:rPr>
      </w:pPr>
    </w:p>
    <w:p w14:paraId="661ACD06">
      <w:pPr>
        <w:ind w:firstLine="640" w:firstLineChars="200"/>
        <w:rPr>
          <w:rFonts w:ascii="Times New Roman" w:hAnsi="Times New Roman" w:eastAsia="黑体"/>
          <w:sz w:val="32"/>
          <w:highlight w:val="none"/>
        </w:rPr>
      </w:pPr>
    </w:p>
    <w:p w14:paraId="088CB779">
      <w:pPr>
        <w:ind w:firstLine="640" w:firstLineChars="200"/>
        <w:rPr>
          <w:rFonts w:ascii="Times New Roman" w:hAnsi="Times New Roman" w:eastAsia="黑体"/>
          <w:sz w:val="32"/>
          <w:highlight w:val="none"/>
        </w:rPr>
      </w:pPr>
    </w:p>
    <w:p w14:paraId="594001E0">
      <w:pPr>
        <w:pStyle w:val="8"/>
        <w:rPr>
          <w:rFonts w:ascii="Times New Roman" w:hAnsi="Times New Roman"/>
        </w:rPr>
      </w:pPr>
    </w:p>
    <w:p w14:paraId="30FDAA5A">
      <w:pPr>
        <w:ind w:firstLine="640" w:firstLineChars="200"/>
        <w:rPr>
          <w:rFonts w:ascii="Times New Roman" w:hAnsi="Times New Roman" w:eastAsia="黑体"/>
          <w:sz w:val="32"/>
          <w:highlight w:val="none"/>
        </w:rPr>
      </w:pPr>
    </w:p>
    <w:p w14:paraId="2BC25587">
      <w:pPr>
        <w:ind w:firstLine="640" w:firstLineChars="200"/>
        <w:rPr>
          <w:rFonts w:ascii="Times New Roman" w:hAnsi="Times New Roman" w:eastAsia="黑体"/>
          <w:sz w:val="32"/>
          <w:highlight w:val="none"/>
        </w:rPr>
      </w:pPr>
    </w:p>
    <w:p w14:paraId="49E569DB">
      <w:pPr>
        <w:ind w:firstLine="640" w:firstLineChars="200"/>
        <w:rPr>
          <w:rFonts w:hint="eastAsia" w:ascii="Times New Roman" w:hAnsi="Times New Roman" w:eastAsia="黑体"/>
          <w:sz w:val="32"/>
          <w:highlight w:val="none"/>
        </w:rPr>
      </w:pPr>
      <w:r>
        <w:rPr>
          <w:rFonts w:hint="eastAsia" w:ascii="Times New Roman" w:hAnsi="Times New Roman" w:eastAsia="黑体"/>
          <w:sz w:val="32"/>
          <w:highlight w:val="none"/>
        </w:rPr>
        <w:t>七、政府性基金预算财政拨款收入支出决算表</w:t>
      </w:r>
    </w:p>
    <w:p w14:paraId="3D5C0902">
      <w:pPr>
        <w:jc w:val="center"/>
        <w:rPr>
          <w:rFonts w:hint="eastAsia" w:ascii="Times New Roman" w:hAnsi="Times New Roman" w:eastAsia="仿宋_GB2312"/>
          <w:sz w:val="32"/>
          <w:highlight w:val="none"/>
        </w:rPr>
      </w:pPr>
      <w:r>
        <w:rPr>
          <w:rFonts w:hint="default" w:ascii="Times New Roman" w:hAnsi="Times New Roman" w:eastAsia="宋体"/>
          <w:highlight w:val="none"/>
          <w:lang w:val="en-US" w:eastAsia="zh-CN"/>
        </w:rPr>
        <w:drawing>
          <wp:anchor distT="0" distB="0" distL="114300" distR="114300" simplePos="0" relativeHeight="251664384" behindDoc="0" locked="0" layoutInCell="1" allowOverlap="1">
            <wp:simplePos x="0" y="0"/>
            <wp:positionH relativeFrom="column">
              <wp:posOffset>-314325</wp:posOffset>
            </wp:positionH>
            <wp:positionV relativeFrom="paragraph">
              <wp:posOffset>153035</wp:posOffset>
            </wp:positionV>
            <wp:extent cx="6256655" cy="1727835"/>
            <wp:effectExtent l="0" t="0" r="10795" b="5715"/>
            <wp:wrapTopAndBottom/>
            <wp:docPr id="17" name="图片 17" descr="abaf587e-4a88-4ecb-8158-737c99f9c0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abaf587e-4a88-4ecb-8158-737c99f9c0d6"/>
                    <pic:cNvPicPr>
                      <a:picLocks noChangeAspect="1"/>
                    </pic:cNvPicPr>
                  </pic:nvPicPr>
                  <pic:blipFill>
                    <a:blip r:embed="rId12"/>
                    <a:stretch>
                      <a:fillRect/>
                    </a:stretch>
                  </pic:blipFill>
                  <pic:spPr>
                    <a:xfrm>
                      <a:off x="0" y="0"/>
                      <a:ext cx="6256655" cy="1727835"/>
                    </a:xfrm>
                    <a:prstGeom prst="rect">
                      <a:avLst/>
                    </a:prstGeom>
                  </pic:spPr>
                </pic:pic>
              </a:graphicData>
            </a:graphic>
          </wp:anchor>
        </w:drawing>
      </w:r>
      <w:r>
        <w:rPr>
          <w:rFonts w:hint="eastAsia"/>
          <w:highlight w:val="none"/>
          <w:lang w:val="en-US" w:eastAsia="zh-CN"/>
        </w:rPr>
        <w:t xml:space="preserve"> </w:t>
      </w:r>
    </w:p>
    <w:p w14:paraId="02D110C4">
      <w:pPr>
        <w:pStyle w:val="8"/>
        <w:rPr>
          <w:rFonts w:ascii="Times New Roman" w:hAnsi="Times New Roman"/>
        </w:rPr>
      </w:pPr>
    </w:p>
    <w:p w14:paraId="66812DC2">
      <w:pPr>
        <w:ind w:firstLine="640" w:firstLineChars="200"/>
        <w:rPr>
          <w:rFonts w:hint="eastAsia" w:ascii="Times New Roman" w:hAnsi="Times New Roman" w:eastAsia="黑体"/>
          <w:sz w:val="32"/>
          <w:highlight w:val="none"/>
        </w:rPr>
      </w:pPr>
      <w:r>
        <w:rPr>
          <w:rFonts w:hint="eastAsia" w:ascii="Times New Roman" w:hAnsi="Times New Roman" w:eastAsia="黑体"/>
          <w:sz w:val="32"/>
          <w:highlight w:val="none"/>
        </w:rPr>
        <w:t>八、国有资本经营预算财政拨款支出决算表</w:t>
      </w:r>
    </w:p>
    <w:p w14:paraId="67F4FC52">
      <w:pPr>
        <w:jc w:val="center"/>
        <w:rPr>
          <w:rFonts w:hint="eastAsia" w:ascii="Times New Roman" w:hAnsi="Times New Roman" w:eastAsia="宋体"/>
          <w:highlight w:val="none"/>
          <w:lang w:eastAsia="zh-CN"/>
        </w:rPr>
      </w:pPr>
      <w:r>
        <w:rPr>
          <w:rFonts w:hint="eastAsia" w:ascii="Times New Roman" w:hAnsi="Times New Roman" w:eastAsia="宋体"/>
          <w:highlight w:val="none"/>
          <w:lang w:eastAsia="zh-CN"/>
        </w:rPr>
        <w:drawing>
          <wp:inline distT="0" distB="0" distL="114300" distR="114300">
            <wp:extent cx="5296535" cy="1922145"/>
            <wp:effectExtent l="0" t="0" r="18415" b="1905"/>
            <wp:docPr id="18" name="图片 18" descr="229fc52f-8a7e-47e6-86e4-f251a90b8a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29fc52f-8a7e-47e6-86e4-f251a90b8a6c"/>
                    <pic:cNvPicPr>
                      <a:picLocks noChangeAspect="1"/>
                    </pic:cNvPicPr>
                  </pic:nvPicPr>
                  <pic:blipFill>
                    <a:blip r:embed="rId13"/>
                    <a:stretch>
                      <a:fillRect/>
                    </a:stretch>
                  </pic:blipFill>
                  <pic:spPr>
                    <a:xfrm>
                      <a:off x="0" y="0"/>
                      <a:ext cx="5296535" cy="1922145"/>
                    </a:xfrm>
                    <a:prstGeom prst="rect">
                      <a:avLst/>
                    </a:prstGeom>
                  </pic:spPr>
                </pic:pic>
              </a:graphicData>
            </a:graphic>
          </wp:inline>
        </w:drawing>
      </w:r>
    </w:p>
    <w:p w14:paraId="265B074D">
      <w:pPr>
        <w:jc w:val="center"/>
        <w:rPr>
          <w:rFonts w:ascii="Times New Roman" w:hAnsi="Times New Roman"/>
          <w:highlight w:val="none"/>
        </w:rPr>
      </w:pPr>
    </w:p>
    <w:p w14:paraId="22A796F3">
      <w:pPr>
        <w:ind w:firstLine="640" w:firstLineChars="200"/>
        <w:rPr>
          <w:rFonts w:hint="eastAsia" w:ascii="Times New Roman" w:hAnsi="Times New Roman" w:eastAsia="仿宋_GB2312"/>
          <w:sz w:val="32"/>
          <w:highlight w:val="none"/>
        </w:rPr>
      </w:pPr>
      <w:r>
        <w:rPr>
          <w:rFonts w:hint="eastAsia" w:eastAsia="仿宋_GB2312"/>
          <w:color w:val="FF0000"/>
          <w:sz w:val="32"/>
          <w:szCs w:val="32"/>
          <w:highlight w:val="none"/>
          <w:lang w:val="en-US" w:eastAsia="zh-CN"/>
        </w:rPr>
        <w:t xml:space="preserve"> </w:t>
      </w:r>
    </w:p>
    <w:p w14:paraId="36CAB475">
      <w:pPr>
        <w:ind w:firstLine="640" w:firstLineChars="200"/>
        <w:rPr>
          <w:rFonts w:ascii="Times New Roman" w:hAnsi="Times New Roman" w:eastAsia="黑体"/>
          <w:sz w:val="32"/>
          <w:highlight w:val="none"/>
        </w:rPr>
      </w:pPr>
      <w:r>
        <w:rPr>
          <w:rFonts w:hint="eastAsia" w:ascii="Times New Roman" w:hAnsi="Times New Roman" w:eastAsia="黑体"/>
          <w:sz w:val="32"/>
          <w:highlight w:val="none"/>
        </w:rPr>
        <w:t>九、财政拨款“三公”经费支出决算表</w:t>
      </w:r>
    </w:p>
    <w:p w14:paraId="66A2D84F">
      <w:pPr>
        <w:jc w:val="center"/>
        <w:rPr>
          <w:rFonts w:ascii="Times New Roman" w:hAnsi="Times New Roman"/>
          <w:highlight w:val="none"/>
        </w:rPr>
      </w:pPr>
    </w:p>
    <w:p w14:paraId="024CD9B2">
      <w:pPr>
        <w:jc w:val="center"/>
        <w:rPr>
          <w:rFonts w:hint="eastAsia" w:ascii="Times New Roman" w:hAnsi="Times New Roman" w:eastAsia="宋体"/>
          <w:highlight w:val="none"/>
          <w:lang w:eastAsia="zh-CN"/>
        </w:rPr>
      </w:pPr>
      <w:r>
        <w:rPr>
          <w:rFonts w:hint="eastAsia" w:ascii="Times New Roman" w:hAnsi="Times New Roman" w:eastAsia="宋体"/>
          <w:highlight w:val="none"/>
          <w:lang w:eastAsia="zh-CN"/>
        </w:rPr>
        <w:drawing>
          <wp:inline distT="0" distB="0" distL="114300" distR="114300">
            <wp:extent cx="5297170" cy="1239520"/>
            <wp:effectExtent l="0" t="0" r="17780" b="17780"/>
            <wp:docPr id="19" name="图片 19" descr="26a88ec1-d9bf-489b-9f20-de4518a1df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26a88ec1-d9bf-489b-9f20-de4518a1dfb3"/>
                    <pic:cNvPicPr>
                      <a:picLocks noChangeAspect="1"/>
                    </pic:cNvPicPr>
                  </pic:nvPicPr>
                  <pic:blipFill>
                    <a:blip r:embed="rId14"/>
                    <a:stretch>
                      <a:fillRect/>
                    </a:stretch>
                  </pic:blipFill>
                  <pic:spPr>
                    <a:xfrm>
                      <a:off x="0" y="0"/>
                      <a:ext cx="5297170" cy="1239520"/>
                    </a:xfrm>
                    <a:prstGeom prst="rect">
                      <a:avLst/>
                    </a:prstGeom>
                  </pic:spPr>
                </pic:pic>
              </a:graphicData>
            </a:graphic>
          </wp:inline>
        </w:drawing>
      </w:r>
    </w:p>
    <w:p w14:paraId="103F4D18">
      <w:pPr>
        <w:ind w:firstLine="640" w:firstLineChars="200"/>
        <w:rPr>
          <w:rFonts w:hint="eastAsia" w:eastAsia="仿宋_GB2312"/>
          <w:color w:val="FF0000"/>
          <w:sz w:val="32"/>
          <w:highlight w:val="none"/>
          <w:lang w:val="en-US" w:eastAsia="zh-CN"/>
        </w:rPr>
      </w:pPr>
      <w:r>
        <w:rPr>
          <w:rFonts w:hint="eastAsia" w:eastAsia="仿宋_GB2312"/>
          <w:color w:val="FF0000"/>
          <w:sz w:val="32"/>
          <w:highlight w:val="none"/>
          <w:lang w:val="en-US" w:eastAsia="zh-CN"/>
        </w:rPr>
        <w:t xml:space="preserve"> </w:t>
      </w:r>
    </w:p>
    <w:p w14:paraId="6C83CFAB">
      <w:pPr>
        <w:ind w:firstLine="640" w:firstLineChars="200"/>
        <w:rPr>
          <w:rFonts w:hint="eastAsia" w:eastAsia="仿宋_GB2312"/>
          <w:color w:val="FF0000"/>
          <w:sz w:val="32"/>
          <w:highlight w:val="none"/>
          <w:lang w:val="en-US" w:eastAsia="zh-CN"/>
        </w:rPr>
      </w:pPr>
    </w:p>
    <w:p w14:paraId="13CD1D98">
      <w:pPr>
        <w:ind w:firstLine="640" w:firstLineChars="200"/>
        <w:rPr>
          <w:rFonts w:hint="eastAsia" w:eastAsia="仿宋_GB2312"/>
          <w:color w:val="FF0000"/>
          <w:sz w:val="32"/>
          <w:highlight w:val="none"/>
          <w:lang w:val="en-US" w:eastAsia="zh-CN"/>
        </w:rPr>
      </w:pPr>
    </w:p>
    <w:p w14:paraId="356BD2FD">
      <w:pPr>
        <w:ind w:firstLine="640" w:firstLineChars="200"/>
        <w:rPr>
          <w:rFonts w:hint="eastAsia" w:eastAsia="仿宋_GB2312"/>
          <w:color w:val="FF0000"/>
          <w:sz w:val="32"/>
          <w:highlight w:val="none"/>
          <w:lang w:val="en-US" w:eastAsia="zh-CN"/>
        </w:rPr>
      </w:pPr>
    </w:p>
    <w:p w14:paraId="704391C0">
      <w:pPr>
        <w:ind w:firstLine="640" w:firstLineChars="200"/>
        <w:rPr>
          <w:rFonts w:hint="eastAsia" w:eastAsia="仿宋_GB2312"/>
          <w:color w:val="FF0000"/>
          <w:sz w:val="32"/>
          <w:highlight w:val="none"/>
          <w:lang w:val="en-US" w:eastAsia="zh-CN"/>
        </w:rPr>
      </w:pPr>
    </w:p>
    <w:p w14:paraId="3445DA8F">
      <w:pPr>
        <w:ind w:firstLine="640" w:firstLineChars="200"/>
        <w:rPr>
          <w:rFonts w:hint="eastAsia" w:eastAsia="仿宋_GB2312"/>
          <w:color w:val="FF0000"/>
          <w:sz w:val="32"/>
          <w:highlight w:val="none"/>
          <w:lang w:val="en-US" w:eastAsia="zh-CN"/>
        </w:rPr>
      </w:pPr>
    </w:p>
    <w:p w14:paraId="3339CD8D">
      <w:pPr>
        <w:ind w:firstLine="640" w:firstLineChars="200"/>
        <w:rPr>
          <w:rFonts w:hint="eastAsia" w:eastAsia="仿宋_GB2312"/>
          <w:color w:val="FF0000"/>
          <w:sz w:val="32"/>
          <w:highlight w:val="none"/>
          <w:lang w:val="en-US" w:eastAsia="zh-CN"/>
        </w:rPr>
      </w:pPr>
    </w:p>
    <w:p w14:paraId="5DAC2D49">
      <w:pPr>
        <w:ind w:firstLine="640" w:firstLineChars="200"/>
        <w:rPr>
          <w:rFonts w:hint="eastAsia" w:eastAsia="仿宋_GB2312"/>
          <w:color w:val="FF0000"/>
          <w:sz w:val="32"/>
          <w:highlight w:val="none"/>
          <w:lang w:val="en-US" w:eastAsia="zh-CN"/>
        </w:rPr>
      </w:pPr>
    </w:p>
    <w:p w14:paraId="0C5BB55B">
      <w:pPr>
        <w:ind w:firstLine="640" w:firstLineChars="200"/>
        <w:rPr>
          <w:rFonts w:hint="eastAsia" w:eastAsia="仿宋_GB2312"/>
          <w:color w:val="FF0000"/>
          <w:sz w:val="32"/>
          <w:highlight w:val="none"/>
          <w:lang w:val="en-US" w:eastAsia="zh-CN"/>
        </w:rPr>
      </w:pPr>
    </w:p>
    <w:p w14:paraId="32634AF1">
      <w:pPr>
        <w:ind w:firstLine="640" w:firstLineChars="200"/>
        <w:rPr>
          <w:rFonts w:hint="eastAsia" w:ascii="Times New Roman" w:hAnsi="Times New Roman" w:eastAsia="黑体"/>
          <w:sz w:val="32"/>
          <w:highlight w:val="none"/>
        </w:rPr>
      </w:pPr>
      <w:r>
        <w:rPr>
          <w:rFonts w:hint="eastAsia" w:ascii="Times New Roman" w:hAnsi="Times New Roman" w:eastAsia="黑体"/>
          <w:sz w:val="32"/>
          <w:highlight w:val="none"/>
        </w:rPr>
        <w:t>十、部门预算项目支出绩效自评表</w:t>
      </w:r>
    </w:p>
    <w:p w14:paraId="18426547">
      <w:pPr>
        <w:ind w:firstLine="420" w:firstLineChars="200"/>
        <w:rPr>
          <w:rFonts w:hint="eastAsia" w:ascii="Times New Roman" w:hAnsi="Times New Roman" w:eastAsia="宋体"/>
          <w:highlight w:val="none"/>
          <w:lang w:eastAsia="zh-CN"/>
        </w:rPr>
      </w:pPr>
      <w:r>
        <w:rPr>
          <w:rFonts w:hint="eastAsia" w:ascii="Times New Roman" w:hAnsi="Times New Roman" w:eastAsia="宋体"/>
          <w:highlight w:val="none"/>
          <w:lang w:eastAsia="zh-CN"/>
        </w:rPr>
        <w:drawing>
          <wp:anchor distT="0" distB="0" distL="114300" distR="114300" simplePos="0" relativeHeight="251665408" behindDoc="0" locked="0" layoutInCell="1" allowOverlap="1">
            <wp:simplePos x="0" y="0"/>
            <wp:positionH relativeFrom="column">
              <wp:posOffset>-552450</wp:posOffset>
            </wp:positionH>
            <wp:positionV relativeFrom="paragraph">
              <wp:posOffset>233045</wp:posOffset>
            </wp:positionV>
            <wp:extent cx="6311900" cy="7760335"/>
            <wp:effectExtent l="0" t="0" r="12700" b="12065"/>
            <wp:wrapTopAndBottom/>
            <wp:docPr id="2" name="图片 2" descr="57814bc6-d75e-4d41-9400-2103089cce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7814bc6-d75e-4d41-9400-2103089cce0d"/>
                    <pic:cNvPicPr>
                      <a:picLocks noChangeAspect="1"/>
                    </pic:cNvPicPr>
                  </pic:nvPicPr>
                  <pic:blipFill>
                    <a:blip r:embed="rId15"/>
                    <a:stretch>
                      <a:fillRect/>
                    </a:stretch>
                  </pic:blipFill>
                  <pic:spPr>
                    <a:xfrm>
                      <a:off x="0" y="0"/>
                      <a:ext cx="6311900" cy="7760335"/>
                    </a:xfrm>
                    <a:prstGeom prst="rect">
                      <a:avLst/>
                    </a:prstGeom>
                  </pic:spPr>
                </pic:pic>
              </a:graphicData>
            </a:graphic>
          </wp:anchor>
        </w:drawing>
      </w:r>
    </w:p>
    <w:p w14:paraId="164DEC87">
      <w:pPr>
        <w:jc w:val="center"/>
        <w:rPr>
          <w:rFonts w:hint="eastAsia" w:ascii="Times New Roman" w:hAnsi="Times New Roman" w:eastAsia="仿宋_GB2312"/>
          <w:sz w:val="32"/>
          <w:highlight w:val="none"/>
        </w:rPr>
      </w:pPr>
    </w:p>
    <w:p w14:paraId="2DDB7393">
      <w:pPr>
        <w:rPr>
          <w:rFonts w:hint="eastAsia" w:ascii="Times New Roman" w:hAnsi="Times New Roman" w:eastAsia="仿宋_GB2312"/>
          <w:sz w:val="44"/>
          <w:highlight w:val="none"/>
        </w:rPr>
      </w:pPr>
      <w:r>
        <w:rPr>
          <w:rFonts w:hint="eastAsia" w:ascii="Times New Roman" w:hAnsi="Times New Roman" w:eastAsia="仿宋_GB2312"/>
          <w:sz w:val="44"/>
          <w:highlight w:val="none"/>
        </w:rPr>
        <w:br w:type="page"/>
      </w:r>
    </w:p>
    <w:p w14:paraId="7682A194">
      <w:pPr>
        <w:jc w:val="center"/>
        <w:rPr>
          <w:rFonts w:hint="eastAsia" w:ascii="Times New Roman" w:hAnsi="Times New Roman" w:eastAsia="仿宋_GB2312"/>
          <w:sz w:val="44"/>
          <w:highlight w:val="none"/>
        </w:rPr>
      </w:pPr>
    </w:p>
    <w:p w14:paraId="0A14F409">
      <w:pPr>
        <w:jc w:val="center"/>
        <w:rPr>
          <w:rFonts w:hint="eastAsia" w:ascii="Times New Roman" w:hAnsi="Times New Roman" w:eastAsia="方正小标宋简体"/>
          <w:sz w:val="44"/>
          <w:highlight w:val="none"/>
        </w:rPr>
      </w:pPr>
      <w:r>
        <w:rPr>
          <w:rFonts w:hint="eastAsia" w:ascii="Times New Roman" w:hAnsi="Times New Roman" w:eastAsia="方正小标宋简体"/>
          <w:sz w:val="44"/>
          <w:highlight w:val="none"/>
        </w:rPr>
        <w:t>第三部分 202</w:t>
      </w:r>
      <w:r>
        <w:rPr>
          <w:rFonts w:hint="eastAsia" w:ascii="Times New Roman" w:hAnsi="Times New Roman" w:eastAsia="方正小标宋简体"/>
          <w:sz w:val="44"/>
          <w:highlight w:val="none"/>
          <w:lang w:val="en-US" w:eastAsia="zh-CN"/>
        </w:rPr>
        <w:t>5</w:t>
      </w:r>
      <w:r>
        <w:rPr>
          <w:rFonts w:hint="eastAsia" w:ascii="Times New Roman" w:hAnsi="Times New Roman" w:eastAsia="方正小标宋简体"/>
          <w:sz w:val="44"/>
          <w:highlight w:val="none"/>
        </w:rPr>
        <w:t>年度部门决算情况说明</w:t>
      </w:r>
    </w:p>
    <w:p w14:paraId="688D84D6">
      <w:pPr>
        <w:rPr>
          <w:rFonts w:hint="eastAsia" w:ascii="Times New Roman" w:hAnsi="Times New Roman" w:eastAsia="仿宋_GB2312"/>
          <w:sz w:val="32"/>
          <w:highlight w:val="none"/>
        </w:rPr>
      </w:pPr>
    </w:p>
    <w:p w14:paraId="5F09DA00">
      <w:pPr>
        <w:keepNext w:val="0"/>
        <w:keepLines w:val="0"/>
        <w:pageBreakBefore w:val="0"/>
        <w:widowControl w:val="0"/>
        <w:kinsoku/>
        <w:wordWrap/>
        <w:overflowPunct/>
        <w:topLinePunct w:val="0"/>
        <w:bidi w:val="0"/>
        <w:spacing w:line="560" w:lineRule="exact"/>
        <w:ind w:right="0" w:rightChars="0"/>
        <w:textAlignment w:val="auto"/>
        <w:outlineLvl w:val="9"/>
        <w:rPr>
          <w:rFonts w:hint="eastAsia" w:ascii="Times New Roman" w:hAnsi="Times New Roman" w:eastAsia="黑体"/>
          <w:sz w:val="32"/>
          <w:highlight w:val="none"/>
        </w:rPr>
      </w:pPr>
      <w:r>
        <w:rPr>
          <w:rFonts w:hint="eastAsia" w:ascii="Times New Roman" w:hAnsi="Times New Roman" w:eastAsia="仿宋_GB2312"/>
          <w:sz w:val="32"/>
          <w:highlight w:val="none"/>
        </w:rPr>
        <w:t xml:space="preserve">    </w:t>
      </w:r>
      <w:r>
        <w:rPr>
          <w:rFonts w:hint="eastAsia" w:ascii="Times New Roman" w:hAnsi="Times New Roman" w:eastAsia="黑体"/>
          <w:sz w:val="32"/>
          <w:highlight w:val="none"/>
        </w:rPr>
        <w:t>一、</w:t>
      </w:r>
      <w:r>
        <w:rPr>
          <w:rFonts w:hint="eastAsia" w:ascii="Times New Roman" w:hAnsi="Times New Roman" w:eastAsia="黑体"/>
          <w:sz w:val="32"/>
          <w:szCs w:val="30"/>
          <w:highlight w:val="none"/>
        </w:rPr>
        <w:t>收入支出决算总体情况说明</w:t>
      </w:r>
    </w:p>
    <w:p w14:paraId="506D7103">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仿宋_GB2312"/>
          <w:sz w:val="32"/>
          <w:szCs w:val="30"/>
          <w:highlight w:val="none"/>
        </w:rPr>
      </w:pPr>
      <w:r>
        <w:rPr>
          <w:rFonts w:hint="eastAsia" w:ascii="Times New Roman" w:hAnsi="Times New Roman" w:eastAsia="仿宋_GB2312"/>
          <w:sz w:val="32"/>
          <w:highlight w:val="none"/>
        </w:rPr>
        <w:t>202</w:t>
      </w:r>
      <w:r>
        <w:rPr>
          <w:rFonts w:hint="eastAsia" w:ascii="Times New Roman" w:hAnsi="Times New Roman" w:eastAsia="仿宋_GB2312"/>
          <w:sz w:val="32"/>
          <w:highlight w:val="none"/>
          <w:lang w:val="en-US" w:eastAsia="zh-CN"/>
        </w:rPr>
        <w:t>5</w:t>
      </w:r>
      <w:r>
        <w:rPr>
          <w:rFonts w:hint="eastAsia" w:ascii="Times New Roman" w:hAnsi="Times New Roman" w:eastAsia="仿宋_GB2312"/>
          <w:sz w:val="32"/>
          <w:highlight w:val="none"/>
        </w:rPr>
        <w:t>年度收</w:t>
      </w:r>
      <w:r>
        <w:rPr>
          <w:rFonts w:hint="eastAsia" w:ascii="Times New Roman" w:hAnsi="Times New Roman" w:eastAsia="仿宋_GB2312"/>
          <w:sz w:val="32"/>
          <w:highlight w:val="none"/>
          <w:lang w:eastAsia="zh-CN"/>
        </w:rPr>
        <w:t>入</w:t>
      </w:r>
      <w:r>
        <w:rPr>
          <w:rFonts w:hint="eastAsia" w:ascii="Times New Roman" w:hAnsi="Times New Roman" w:eastAsia="仿宋_GB2312"/>
          <w:sz w:val="32"/>
          <w:highlight w:val="none"/>
        </w:rPr>
        <w:t>总计为</w:t>
      </w:r>
      <w:r>
        <w:rPr>
          <w:rFonts w:hint="eastAsia" w:ascii="Times New Roman" w:hAnsi="Times New Roman" w:eastAsia="仿宋_GB2312"/>
          <w:sz w:val="32"/>
          <w:szCs w:val="30"/>
          <w:highlight w:val="none"/>
          <w:lang w:val="en-US" w:eastAsia="zh-CN"/>
        </w:rPr>
        <w:t>1269.63</w:t>
      </w:r>
      <w:r>
        <w:rPr>
          <w:rFonts w:hint="eastAsia" w:ascii="Times New Roman" w:hAnsi="Times New Roman" w:eastAsia="仿宋_GB2312"/>
          <w:sz w:val="32"/>
          <w:szCs w:val="30"/>
          <w:highlight w:val="none"/>
        </w:rPr>
        <w:t>万元。与202</w:t>
      </w:r>
      <w:r>
        <w:rPr>
          <w:rFonts w:hint="eastAsia" w:ascii="Times New Roman" w:hAnsi="Times New Roman" w:eastAsia="仿宋_GB2312"/>
          <w:sz w:val="32"/>
          <w:szCs w:val="30"/>
          <w:highlight w:val="none"/>
          <w:lang w:val="en-US" w:eastAsia="zh-CN"/>
        </w:rPr>
        <w:t>4</w:t>
      </w:r>
      <w:r>
        <w:rPr>
          <w:rFonts w:hint="eastAsia" w:ascii="Times New Roman" w:hAnsi="Times New Roman" w:eastAsia="仿宋_GB2312"/>
          <w:sz w:val="32"/>
          <w:szCs w:val="30"/>
          <w:highlight w:val="none"/>
        </w:rPr>
        <w:t>年度相比，</w:t>
      </w:r>
      <w:r>
        <w:rPr>
          <w:rFonts w:hint="eastAsia" w:ascii="Times New Roman" w:hAnsi="Times New Roman" w:eastAsia="仿宋_GB2312"/>
          <w:sz w:val="32"/>
          <w:szCs w:val="30"/>
          <w:highlight w:val="none"/>
          <w:lang w:eastAsia="zh-CN"/>
        </w:rPr>
        <w:t>同比</w:t>
      </w:r>
      <w:r>
        <w:rPr>
          <w:rFonts w:hint="eastAsia" w:ascii="Times New Roman" w:hAnsi="Times New Roman" w:eastAsia="仿宋_GB2312"/>
          <w:sz w:val="32"/>
          <w:szCs w:val="30"/>
          <w:highlight w:val="none"/>
        </w:rPr>
        <w:t>增加</w:t>
      </w:r>
      <w:r>
        <w:rPr>
          <w:rFonts w:hint="eastAsia" w:ascii="Times New Roman" w:hAnsi="Times New Roman" w:eastAsia="仿宋_GB2312"/>
          <w:sz w:val="32"/>
          <w:szCs w:val="30"/>
          <w:highlight w:val="none"/>
          <w:lang w:val="en-US" w:eastAsia="zh-CN"/>
        </w:rPr>
        <w:t>186.87</w:t>
      </w:r>
      <w:r>
        <w:rPr>
          <w:rFonts w:hint="eastAsia" w:ascii="Times New Roman" w:hAnsi="Times New Roman" w:eastAsia="仿宋_GB2312"/>
          <w:sz w:val="32"/>
          <w:szCs w:val="30"/>
          <w:highlight w:val="none"/>
        </w:rPr>
        <w:t>万元，增长</w:t>
      </w:r>
      <w:r>
        <w:rPr>
          <w:rFonts w:hint="eastAsia" w:ascii="Times New Roman" w:hAnsi="Times New Roman" w:eastAsia="仿宋_GB2312"/>
          <w:sz w:val="32"/>
          <w:szCs w:val="30"/>
          <w:highlight w:val="none"/>
          <w:lang w:val="en-US" w:eastAsia="zh-CN"/>
        </w:rPr>
        <w:t>14.7</w:t>
      </w:r>
      <w:r>
        <w:rPr>
          <w:rFonts w:hint="eastAsia" w:ascii="Times New Roman" w:hAnsi="Times New Roman" w:eastAsia="仿宋_GB2312"/>
          <w:sz w:val="32"/>
          <w:szCs w:val="30"/>
          <w:highlight w:val="none"/>
        </w:rPr>
        <w:t>%。主要原因</w:t>
      </w:r>
      <w:r>
        <w:rPr>
          <w:rFonts w:hint="eastAsia" w:ascii="Times New Roman" w:hAnsi="Times New Roman" w:eastAsia="仿宋_GB2312"/>
          <w:sz w:val="32"/>
          <w:szCs w:val="30"/>
          <w:highlight w:val="none"/>
          <w:lang w:eastAsia="zh-CN"/>
        </w:rPr>
        <w:t>是：</w:t>
      </w:r>
      <w:r>
        <w:rPr>
          <w:rFonts w:hint="eastAsia" w:ascii="Times New Roman" w:hAnsi="Times New Roman" w:eastAsia="仿宋_GB2312"/>
          <w:sz w:val="32"/>
          <w:szCs w:val="30"/>
          <w:highlight w:val="none"/>
          <w:lang w:val="en-US" w:eastAsia="zh-CN"/>
        </w:rPr>
        <w:t>本年项目收入增加，所以本年收入高于上年收入</w:t>
      </w:r>
      <w:r>
        <w:rPr>
          <w:rFonts w:hint="eastAsia" w:ascii="Times New Roman" w:hAnsi="Times New Roman" w:eastAsia="仿宋_GB2312"/>
          <w:sz w:val="32"/>
          <w:szCs w:val="30"/>
          <w:highlight w:val="none"/>
          <w:lang w:eastAsia="zh-CN"/>
        </w:rPr>
        <w:t>。</w:t>
      </w:r>
    </w:p>
    <w:p w14:paraId="2B37BFEF">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default" w:ascii="Times New Roman" w:hAnsi="Times New Roman" w:eastAsia="仿宋_GB2312"/>
          <w:lang w:val="en-US" w:eastAsia="zh-CN"/>
        </w:rPr>
      </w:pPr>
      <w:r>
        <w:rPr>
          <w:rFonts w:hint="eastAsia" w:ascii="Times New Roman" w:hAnsi="Times New Roman" w:eastAsia="仿宋_GB2312"/>
          <w:sz w:val="32"/>
          <w:highlight w:val="none"/>
        </w:rPr>
        <w:t>202</w:t>
      </w:r>
      <w:r>
        <w:rPr>
          <w:rFonts w:hint="eastAsia" w:ascii="Times New Roman" w:hAnsi="Times New Roman" w:eastAsia="仿宋_GB2312"/>
          <w:sz w:val="32"/>
          <w:highlight w:val="none"/>
          <w:lang w:val="en-US" w:eastAsia="zh-CN"/>
        </w:rPr>
        <w:t>5</w:t>
      </w:r>
      <w:r>
        <w:rPr>
          <w:rFonts w:hint="eastAsia" w:ascii="Times New Roman" w:hAnsi="Times New Roman" w:eastAsia="仿宋_GB2312"/>
          <w:sz w:val="32"/>
          <w:highlight w:val="none"/>
        </w:rPr>
        <w:t>年度</w:t>
      </w:r>
      <w:r>
        <w:rPr>
          <w:rFonts w:hint="eastAsia" w:ascii="Times New Roman" w:hAnsi="Times New Roman" w:eastAsia="仿宋_GB2312"/>
          <w:sz w:val="32"/>
          <w:highlight w:val="none"/>
          <w:lang w:eastAsia="zh-CN"/>
        </w:rPr>
        <w:t>支出</w:t>
      </w:r>
      <w:r>
        <w:rPr>
          <w:rFonts w:hint="eastAsia" w:ascii="Times New Roman" w:hAnsi="Times New Roman" w:eastAsia="仿宋_GB2312"/>
          <w:sz w:val="32"/>
          <w:highlight w:val="none"/>
        </w:rPr>
        <w:t>总计为</w:t>
      </w:r>
      <w:r>
        <w:rPr>
          <w:rFonts w:hint="eastAsia" w:ascii="Times New Roman" w:hAnsi="Times New Roman" w:eastAsia="仿宋_GB2312"/>
          <w:sz w:val="32"/>
          <w:szCs w:val="30"/>
          <w:highlight w:val="none"/>
          <w:lang w:val="en-US" w:eastAsia="zh-CN"/>
        </w:rPr>
        <w:t>1267.77</w:t>
      </w:r>
      <w:r>
        <w:rPr>
          <w:rFonts w:hint="eastAsia" w:ascii="Times New Roman" w:hAnsi="Times New Roman" w:eastAsia="仿宋_GB2312"/>
          <w:sz w:val="32"/>
          <w:szCs w:val="30"/>
          <w:highlight w:val="none"/>
        </w:rPr>
        <w:t>万元。与202</w:t>
      </w:r>
      <w:r>
        <w:rPr>
          <w:rFonts w:hint="eastAsia" w:ascii="Times New Roman" w:hAnsi="Times New Roman" w:eastAsia="仿宋_GB2312"/>
          <w:sz w:val="32"/>
          <w:szCs w:val="30"/>
          <w:highlight w:val="none"/>
          <w:lang w:val="en-US" w:eastAsia="zh-CN"/>
        </w:rPr>
        <w:t>4</w:t>
      </w:r>
      <w:r>
        <w:rPr>
          <w:rFonts w:hint="eastAsia" w:ascii="Times New Roman" w:hAnsi="Times New Roman" w:eastAsia="仿宋_GB2312"/>
          <w:sz w:val="32"/>
          <w:szCs w:val="30"/>
          <w:highlight w:val="none"/>
        </w:rPr>
        <w:t>年度相比，</w:t>
      </w:r>
      <w:r>
        <w:rPr>
          <w:rFonts w:hint="eastAsia" w:ascii="Times New Roman" w:hAnsi="Times New Roman" w:eastAsia="仿宋_GB2312"/>
          <w:sz w:val="32"/>
          <w:szCs w:val="30"/>
          <w:highlight w:val="none"/>
          <w:lang w:eastAsia="zh-CN"/>
        </w:rPr>
        <w:t>同比</w:t>
      </w:r>
      <w:r>
        <w:rPr>
          <w:rFonts w:hint="eastAsia" w:ascii="Times New Roman" w:hAnsi="Times New Roman" w:eastAsia="仿宋_GB2312"/>
          <w:sz w:val="32"/>
          <w:szCs w:val="30"/>
          <w:highlight w:val="none"/>
        </w:rPr>
        <w:t>增加</w:t>
      </w:r>
      <w:r>
        <w:rPr>
          <w:rFonts w:hint="eastAsia" w:ascii="Times New Roman" w:hAnsi="Times New Roman" w:eastAsia="仿宋_GB2312"/>
          <w:sz w:val="32"/>
          <w:szCs w:val="30"/>
          <w:highlight w:val="none"/>
          <w:lang w:val="en-US" w:eastAsia="zh-CN"/>
        </w:rPr>
        <w:t>195.82</w:t>
      </w:r>
      <w:r>
        <w:rPr>
          <w:rFonts w:hint="eastAsia" w:ascii="Times New Roman" w:hAnsi="Times New Roman" w:eastAsia="仿宋_GB2312"/>
          <w:sz w:val="32"/>
          <w:szCs w:val="30"/>
          <w:highlight w:val="none"/>
        </w:rPr>
        <w:t>万元，增长</w:t>
      </w:r>
      <w:r>
        <w:rPr>
          <w:rFonts w:hint="eastAsia" w:ascii="Times New Roman" w:hAnsi="Times New Roman" w:eastAsia="仿宋_GB2312"/>
          <w:sz w:val="32"/>
          <w:szCs w:val="30"/>
          <w:highlight w:val="none"/>
          <w:lang w:val="en-US" w:eastAsia="zh-CN"/>
        </w:rPr>
        <w:t>15.4</w:t>
      </w:r>
      <w:r>
        <w:rPr>
          <w:rFonts w:hint="eastAsia" w:ascii="Times New Roman" w:hAnsi="Times New Roman" w:eastAsia="仿宋_GB2312"/>
          <w:sz w:val="32"/>
          <w:szCs w:val="30"/>
          <w:highlight w:val="none"/>
        </w:rPr>
        <w:t xml:space="preserve"> %。主要原因</w:t>
      </w:r>
      <w:r>
        <w:rPr>
          <w:rFonts w:hint="eastAsia" w:ascii="Times New Roman" w:hAnsi="Times New Roman" w:eastAsia="仿宋_GB2312"/>
          <w:sz w:val="32"/>
          <w:szCs w:val="30"/>
          <w:highlight w:val="none"/>
          <w:lang w:eastAsia="zh-CN"/>
        </w:rPr>
        <w:t>是：</w:t>
      </w:r>
      <w:r>
        <w:rPr>
          <w:rFonts w:hint="eastAsia" w:ascii="Times New Roman" w:hAnsi="Times New Roman" w:eastAsia="仿宋_GB2312"/>
          <w:sz w:val="32"/>
          <w:szCs w:val="30"/>
          <w:highlight w:val="none"/>
          <w:lang w:val="en-US" w:eastAsia="zh-CN"/>
        </w:rPr>
        <w:t>本年项目支出增加，所以本年支出高于上年。</w:t>
      </w:r>
    </w:p>
    <w:p w14:paraId="546836B4">
      <w:pPr>
        <w:keepNext w:val="0"/>
        <w:keepLines w:val="0"/>
        <w:pageBreakBefore w:val="0"/>
        <w:widowControl w:val="0"/>
        <w:kinsoku/>
        <w:wordWrap/>
        <w:overflowPunct/>
        <w:topLinePunct w:val="0"/>
        <w:bidi w:val="0"/>
        <w:spacing w:line="560" w:lineRule="exact"/>
        <w:ind w:left="105" w:leftChars="50" w:right="0" w:rightChars="0" w:firstLine="614" w:firstLineChars="192"/>
        <w:textAlignment w:val="auto"/>
        <w:outlineLvl w:val="9"/>
        <w:rPr>
          <w:rFonts w:hint="eastAsia" w:ascii="Times New Roman" w:hAnsi="Times New Roman" w:eastAsia="仿宋_GB2312"/>
          <w:color w:val="FF0000"/>
          <w:sz w:val="32"/>
          <w:szCs w:val="30"/>
          <w:highlight w:val="none"/>
        </w:rPr>
      </w:pPr>
      <w:r>
        <w:rPr>
          <w:rFonts w:hint="eastAsia" w:ascii="Times New Roman" w:hAnsi="Times New Roman" w:eastAsia="仿宋_GB2312"/>
          <w:color w:val="FF0000"/>
          <w:sz w:val="32"/>
          <w:szCs w:val="30"/>
          <w:highlight w:val="none"/>
          <w:lang w:val="en-US" w:eastAsia="zh-CN"/>
        </w:rPr>
        <w:t xml:space="preserve"> </w:t>
      </w:r>
    </w:p>
    <w:p w14:paraId="177F6FAE">
      <w:pPr>
        <w:keepNext w:val="0"/>
        <w:keepLines w:val="0"/>
        <w:pageBreakBefore w:val="0"/>
        <w:widowControl w:val="0"/>
        <w:kinsoku/>
        <w:wordWrap/>
        <w:overflowPunct/>
        <w:topLinePunct w:val="0"/>
        <w:bidi w:val="0"/>
        <w:spacing w:line="560" w:lineRule="exact"/>
        <w:ind w:right="0" w:rightChars="0"/>
        <w:textAlignment w:val="auto"/>
        <w:outlineLvl w:val="9"/>
        <w:rPr>
          <w:rFonts w:hint="eastAsia" w:ascii="Times New Roman" w:hAnsi="Times New Roman" w:eastAsia="黑体"/>
          <w:sz w:val="32"/>
          <w:highlight w:val="none"/>
        </w:rPr>
      </w:pPr>
      <w:r>
        <w:rPr>
          <w:rFonts w:hint="eastAsia" w:ascii="Times New Roman" w:hAnsi="Times New Roman" w:eastAsia="仿宋_GB2312"/>
          <w:sz w:val="32"/>
          <w:highlight w:val="none"/>
        </w:rPr>
        <w:t xml:space="preserve">   </w:t>
      </w:r>
      <w:r>
        <w:rPr>
          <w:rFonts w:hint="eastAsia" w:ascii="Times New Roman" w:hAnsi="Times New Roman" w:eastAsia="黑体"/>
          <w:sz w:val="32"/>
          <w:highlight w:val="none"/>
        </w:rPr>
        <w:t xml:space="preserve"> 二、</w:t>
      </w:r>
      <w:r>
        <w:rPr>
          <w:rFonts w:hint="eastAsia" w:ascii="Times New Roman" w:hAnsi="Times New Roman" w:eastAsia="黑体"/>
          <w:sz w:val="32"/>
          <w:szCs w:val="30"/>
          <w:highlight w:val="none"/>
        </w:rPr>
        <w:t>收入决算情况说明</w:t>
      </w:r>
    </w:p>
    <w:p w14:paraId="575583E0">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default" w:ascii="Times New Roman" w:hAnsi="Times New Roman" w:eastAsia="仿宋_GB2312"/>
          <w:sz w:val="32"/>
          <w:highlight w:val="none"/>
          <w:lang w:val="en-US"/>
        </w:rPr>
      </w:pPr>
      <w:r>
        <w:rPr>
          <w:rFonts w:hint="eastAsia" w:ascii="Times New Roman" w:hAnsi="Times New Roman" w:eastAsia="仿宋_GB2312"/>
          <w:sz w:val="32"/>
          <w:highlight w:val="none"/>
        </w:rPr>
        <w:t>本</w:t>
      </w:r>
      <w:r>
        <w:rPr>
          <w:rFonts w:ascii="Times New Roman" w:hAnsi="Times New Roman" w:eastAsia="仿宋_GB2312"/>
          <w:sz w:val="32"/>
          <w:highlight w:val="none"/>
        </w:rPr>
        <w:t>年</w:t>
      </w:r>
      <w:r>
        <w:rPr>
          <w:rFonts w:hint="eastAsia" w:ascii="Times New Roman" w:hAnsi="Times New Roman" w:eastAsia="仿宋_GB2312"/>
          <w:sz w:val="32"/>
          <w:highlight w:val="none"/>
        </w:rPr>
        <w:t>收入合计</w:t>
      </w:r>
      <w:r>
        <w:rPr>
          <w:rFonts w:hint="eastAsia" w:ascii="Times New Roman" w:hAnsi="Times New Roman" w:eastAsia="仿宋_GB2312"/>
          <w:sz w:val="32"/>
          <w:highlight w:val="none"/>
          <w:lang w:val="en-US" w:eastAsia="zh-CN"/>
        </w:rPr>
        <w:t>1269.63</w:t>
      </w:r>
      <w:r>
        <w:rPr>
          <w:rFonts w:hint="eastAsia" w:ascii="Times New Roman" w:hAnsi="Times New Roman" w:eastAsia="仿宋_GB2312"/>
          <w:sz w:val="32"/>
          <w:highlight w:val="none"/>
        </w:rPr>
        <w:t>万元，其中：财政拨款收入</w:t>
      </w:r>
      <w:r>
        <w:rPr>
          <w:rFonts w:hint="eastAsia" w:ascii="Times New Roman" w:hAnsi="Times New Roman" w:eastAsia="仿宋_GB2312"/>
          <w:sz w:val="32"/>
          <w:highlight w:val="none"/>
          <w:lang w:val="en-US" w:eastAsia="zh-CN"/>
        </w:rPr>
        <w:t>1269.56</w:t>
      </w:r>
      <w:r>
        <w:rPr>
          <w:rFonts w:hint="eastAsia" w:ascii="Times New Roman" w:hAnsi="Times New Roman" w:eastAsia="仿宋_GB2312"/>
          <w:sz w:val="32"/>
          <w:highlight w:val="none"/>
        </w:rPr>
        <w:t>万元，比</w:t>
      </w:r>
      <w:r>
        <w:rPr>
          <w:rFonts w:ascii="Times New Roman" w:hAnsi="Times New Roman" w:eastAsia="仿宋_GB2312"/>
          <w:sz w:val="32"/>
          <w:highlight w:val="none"/>
        </w:rPr>
        <w:t>上年增加</w:t>
      </w:r>
      <w:r>
        <w:rPr>
          <w:rFonts w:hint="eastAsia" w:ascii="Times New Roman" w:hAnsi="Times New Roman" w:eastAsia="仿宋_GB2312"/>
          <w:sz w:val="32"/>
          <w:highlight w:val="none"/>
          <w:lang w:val="en-US" w:eastAsia="zh-CN"/>
        </w:rPr>
        <w:t>186.95</w:t>
      </w:r>
      <w:r>
        <w:rPr>
          <w:rFonts w:hint="eastAsia" w:ascii="Times New Roman" w:hAnsi="Times New Roman" w:eastAsia="仿宋_GB2312"/>
          <w:sz w:val="32"/>
          <w:highlight w:val="none"/>
        </w:rPr>
        <w:t>万</w:t>
      </w:r>
      <w:r>
        <w:rPr>
          <w:rFonts w:ascii="Times New Roman" w:hAnsi="Times New Roman" w:eastAsia="仿宋_GB2312"/>
          <w:sz w:val="32"/>
          <w:highlight w:val="none"/>
        </w:rPr>
        <w:t>元，</w:t>
      </w:r>
      <w:r>
        <w:rPr>
          <w:rFonts w:hint="eastAsia" w:ascii="Times New Roman" w:hAnsi="Times New Roman" w:eastAsia="仿宋_GB2312"/>
          <w:sz w:val="32"/>
          <w:highlight w:val="none"/>
        </w:rPr>
        <w:t>增</w:t>
      </w:r>
      <w:r>
        <w:rPr>
          <w:rFonts w:ascii="Times New Roman" w:hAnsi="Times New Roman" w:eastAsia="仿宋_GB2312"/>
          <w:sz w:val="32"/>
          <w:highlight w:val="none"/>
        </w:rPr>
        <w:t>长</w:t>
      </w:r>
      <w:r>
        <w:rPr>
          <w:rFonts w:hint="eastAsia" w:ascii="Times New Roman" w:hAnsi="Times New Roman" w:eastAsia="仿宋_GB2312"/>
          <w:sz w:val="32"/>
          <w:highlight w:val="none"/>
          <w:lang w:val="en-US" w:eastAsia="zh-CN"/>
        </w:rPr>
        <w:t>14.7</w:t>
      </w:r>
      <w:r>
        <w:rPr>
          <w:rFonts w:hint="eastAsia" w:ascii="Times New Roman" w:hAnsi="Times New Roman" w:eastAsia="仿宋_GB2312"/>
          <w:sz w:val="32"/>
          <w:highlight w:val="none"/>
        </w:rPr>
        <w:t>%，</w:t>
      </w:r>
      <w:r>
        <w:rPr>
          <w:rFonts w:ascii="Times New Roman" w:hAnsi="Times New Roman" w:eastAsia="仿宋_GB2312"/>
          <w:sz w:val="32"/>
          <w:highlight w:val="none"/>
        </w:rPr>
        <w:t>主要</w:t>
      </w:r>
      <w:r>
        <w:rPr>
          <w:rFonts w:hint="eastAsia" w:ascii="Times New Roman" w:hAnsi="Times New Roman" w:eastAsia="仿宋_GB2312"/>
          <w:sz w:val="32"/>
          <w:highlight w:val="none"/>
        </w:rPr>
        <w:t>是</w:t>
      </w:r>
      <w:r>
        <w:rPr>
          <w:rFonts w:hint="eastAsia" w:ascii="Times New Roman" w:hAnsi="Times New Roman" w:eastAsia="仿宋_GB2312"/>
          <w:sz w:val="32"/>
          <w:szCs w:val="30"/>
          <w:highlight w:val="none"/>
          <w:lang w:val="en-US" w:eastAsia="zh-CN"/>
        </w:rPr>
        <w:t>本年项目收入增加，所以本年高于上年；其他收入0.07万元。</w:t>
      </w:r>
    </w:p>
    <w:p w14:paraId="44946ADD">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仿宋_GB2312"/>
          <w:color w:val="FF0000"/>
          <w:sz w:val="32"/>
          <w:highlight w:val="none"/>
        </w:rPr>
      </w:pPr>
      <w:r>
        <w:rPr>
          <w:rFonts w:hint="eastAsia" w:ascii="Times New Roman" w:hAnsi="Times New Roman" w:eastAsia="仿宋_GB2312"/>
          <w:color w:val="FF0000"/>
          <w:sz w:val="32"/>
          <w:highlight w:val="none"/>
          <w:lang w:val="en-US" w:eastAsia="zh-CN"/>
        </w:rPr>
        <w:t xml:space="preserve"> </w:t>
      </w:r>
    </w:p>
    <w:p w14:paraId="73673A9E">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黑体"/>
          <w:sz w:val="32"/>
          <w:highlight w:val="none"/>
        </w:rPr>
      </w:pPr>
      <w:r>
        <w:rPr>
          <w:rFonts w:hint="eastAsia" w:ascii="Times New Roman" w:hAnsi="Times New Roman" w:eastAsia="黑体"/>
          <w:sz w:val="32"/>
          <w:highlight w:val="none"/>
        </w:rPr>
        <w:t>三、</w:t>
      </w:r>
      <w:r>
        <w:rPr>
          <w:rFonts w:hint="eastAsia" w:ascii="Times New Roman" w:hAnsi="Times New Roman" w:eastAsia="黑体"/>
          <w:sz w:val="32"/>
          <w:szCs w:val="30"/>
          <w:highlight w:val="none"/>
        </w:rPr>
        <w:t>支出决算情况说明</w:t>
      </w:r>
    </w:p>
    <w:p w14:paraId="1125074D">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仿宋_GB2312"/>
          <w:sz w:val="32"/>
          <w:highlight w:val="none"/>
        </w:rPr>
        <w:t>本</w:t>
      </w:r>
      <w:r>
        <w:rPr>
          <w:rFonts w:ascii="Times New Roman" w:hAnsi="Times New Roman" w:eastAsia="仿宋_GB2312"/>
          <w:sz w:val="32"/>
          <w:highlight w:val="none"/>
        </w:rPr>
        <w:t>年</w:t>
      </w:r>
      <w:r>
        <w:rPr>
          <w:rFonts w:hint="eastAsia" w:ascii="Times New Roman" w:hAnsi="Times New Roman" w:eastAsia="仿宋_GB2312"/>
          <w:sz w:val="32"/>
          <w:highlight w:val="none"/>
        </w:rPr>
        <w:t>支出合计</w:t>
      </w:r>
      <w:r>
        <w:rPr>
          <w:rFonts w:hint="eastAsia" w:ascii="Times New Roman" w:hAnsi="Times New Roman" w:eastAsia="仿宋_GB2312"/>
          <w:sz w:val="32"/>
          <w:highlight w:val="none"/>
          <w:lang w:val="en-US" w:eastAsia="zh-CN"/>
        </w:rPr>
        <w:t>1267.66</w:t>
      </w:r>
      <w:r>
        <w:rPr>
          <w:rFonts w:hint="eastAsia" w:ascii="Times New Roman" w:hAnsi="Times New Roman" w:eastAsia="仿宋_GB2312"/>
          <w:sz w:val="32"/>
          <w:highlight w:val="none"/>
        </w:rPr>
        <w:t>万元，其中：基本支出</w:t>
      </w:r>
      <w:r>
        <w:rPr>
          <w:rFonts w:hint="eastAsia" w:ascii="Times New Roman" w:hAnsi="Times New Roman" w:eastAsia="仿宋_GB2312"/>
          <w:sz w:val="32"/>
          <w:highlight w:val="none"/>
          <w:lang w:val="en-US" w:eastAsia="zh-CN"/>
        </w:rPr>
        <w:t>754.78</w:t>
      </w:r>
      <w:r>
        <w:rPr>
          <w:rFonts w:hint="eastAsia" w:ascii="Times New Roman" w:hAnsi="Times New Roman" w:eastAsia="仿宋_GB2312"/>
          <w:sz w:val="32"/>
          <w:highlight w:val="none"/>
        </w:rPr>
        <w:t>万元，比</w:t>
      </w:r>
      <w:r>
        <w:rPr>
          <w:rFonts w:ascii="Times New Roman" w:hAnsi="Times New Roman" w:eastAsia="仿宋_GB2312"/>
          <w:sz w:val="32"/>
          <w:highlight w:val="none"/>
        </w:rPr>
        <w:t>上年</w:t>
      </w:r>
      <w:r>
        <w:rPr>
          <w:rFonts w:hint="eastAsia" w:ascii="Times New Roman" w:hAnsi="Times New Roman" w:eastAsia="仿宋_GB2312"/>
          <w:sz w:val="32"/>
          <w:highlight w:val="none"/>
        </w:rPr>
        <w:t>减</w:t>
      </w:r>
      <w:r>
        <w:rPr>
          <w:rFonts w:ascii="Times New Roman" w:hAnsi="Times New Roman" w:eastAsia="仿宋_GB2312"/>
          <w:sz w:val="32"/>
          <w:highlight w:val="none"/>
        </w:rPr>
        <w:t>少</w:t>
      </w:r>
      <w:r>
        <w:rPr>
          <w:rFonts w:hint="eastAsia" w:ascii="Times New Roman" w:hAnsi="Times New Roman" w:eastAsia="仿宋_GB2312"/>
          <w:sz w:val="32"/>
          <w:highlight w:val="none"/>
          <w:lang w:val="en-US" w:eastAsia="zh-CN"/>
        </w:rPr>
        <w:t>14.15</w:t>
      </w:r>
      <w:r>
        <w:rPr>
          <w:rFonts w:hint="eastAsia" w:ascii="Times New Roman" w:hAnsi="Times New Roman" w:eastAsia="仿宋_GB2312"/>
          <w:sz w:val="32"/>
          <w:highlight w:val="none"/>
        </w:rPr>
        <w:t>万</w:t>
      </w:r>
      <w:r>
        <w:rPr>
          <w:rFonts w:ascii="Times New Roman" w:hAnsi="Times New Roman" w:eastAsia="仿宋_GB2312"/>
          <w:sz w:val="32"/>
          <w:highlight w:val="none"/>
        </w:rPr>
        <w:t>元，</w:t>
      </w:r>
      <w:r>
        <w:rPr>
          <w:rFonts w:hint="eastAsia" w:ascii="Times New Roman" w:hAnsi="Times New Roman" w:eastAsia="仿宋_GB2312"/>
          <w:sz w:val="32"/>
          <w:highlight w:val="none"/>
        </w:rPr>
        <w:t>下</w:t>
      </w:r>
      <w:r>
        <w:rPr>
          <w:rFonts w:ascii="Times New Roman" w:hAnsi="Times New Roman" w:eastAsia="仿宋_GB2312"/>
          <w:sz w:val="32"/>
          <w:highlight w:val="none"/>
        </w:rPr>
        <w:t>降</w:t>
      </w:r>
      <w:r>
        <w:rPr>
          <w:rFonts w:hint="eastAsia" w:ascii="Times New Roman" w:hAnsi="Times New Roman" w:eastAsia="仿宋_GB2312"/>
          <w:sz w:val="32"/>
          <w:highlight w:val="none"/>
          <w:lang w:val="en-US" w:eastAsia="zh-CN"/>
        </w:rPr>
        <w:t>1.9</w:t>
      </w:r>
      <w:r>
        <w:rPr>
          <w:rFonts w:hint="eastAsia" w:ascii="Times New Roman" w:hAnsi="Times New Roman" w:eastAsia="仿宋_GB2312"/>
          <w:sz w:val="32"/>
          <w:highlight w:val="none"/>
        </w:rPr>
        <w:t>%，</w:t>
      </w:r>
      <w:r>
        <w:rPr>
          <w:rFonts w:ascii="Times New Roman" w:hAnsi="Times New Roman" w:eastAsia="仿宋_GB2312"/>
          <w:sz w:val="32"/>
          <w:highlight w:val="none"/>
        </w:rPr>
        <w:t>主要</w:t>
      </w:r>
      <w:r>
        <w:rPr>
          <w:rFonts w:hint="eastAsia" w:ascii="Times New Roman" w:hAnsi="Times New Roman" w:eastAsia="仿宋_GB2312"/>
          <w:sz w:val="32"/>
          <w:highlight w:val="none"/>
        </w:rPr>
        <w:t>是</w:t>
      </w:r>
      <w:r>
        <w:rPr>
          <w:rFonts w:hint="eastAsia" w:ascii="Times New Roman" w:hAnsi="Times New Roman" w:eastAsia="仿宋_GB2312"/>
          <w:sz w:val="32"/>
          <w:highlight w:val="none"/>
          <w:lang w:eastAsia="zh-CN"/>
        </w:rPr>
        <w:t>由</w:t>
      </w:r>
      <w:r>
        <w:rPr>
          <w:rFonts w:hint="eastAsia" w:ascii="宋体" w:hAnsi="宋体" w:eastAsia="仿宋_GB2312"/>
          <w:sz w:val="32"/>
          <w:szCs w:val="30"/>
          <w:highlight w:val="none"/>
          <w:lang w:eastAsia="zh-CN"/>
        </w:rPr>
        <w:t>于本年度人员经费支出减少</w:t>
      </w:r>
      <w:r>
        <w:rPr>
          <w:rFonts w:hint="eastAsia" w:ascii="Times New Roman" w:hAnsi="Times New Roman" w:eastAsia="仿宋_GB2312"/>
          <w:sz w:val="32"/>
          <w:highlight w:val="none"/>
        </w:rPr>
        <w:t>；项目支出</w:t>
      </w:r>
      <w:r>
        <w:rPr>
          <w:rFonts w:hint="eastAsia" w:ascii="Times New Roman" w:hAnsi="Times New Roman" w:eastAsia="仿宋_GB2312"/>
          <w:sz w:val="32"/>
          <w:highlight w:val="none"/>
          <w:lang w:val="en-US" w:eastAsia="zh-CN"/>
        </w:rPr>
        <w:t>512.99</w:t>
      </w:r>
      <w:r>
        <w:rPr>
          <w:rFonts w:hint="eastAsia" w:ascii="Times New Roman" w:hAnsi="Times New Roman" w:eastAsia="仿宋_GB2312"/>
          <w:sz w:val="32"/>
          <w:highlight w:val="none"/>
        </w:rPr>
        <w:t>万元，比</w:t>
      </w:r>
      <w:r>
        <w:rPr>
          <w:rFonts w:ascii="Times New Roman" w:hAnsi="Times New Roman" w:eastAsia="仿宋_GB2312"/>
          <w:sz w:val="32"/>
          <w:highlight w:val="none"/>
        </w:rPr>
        <w:t>上年增加</w:t>
      </w:r>
      <w:r>
        <w:rPr>
          <w:rFonts w:hint="eastAsia" w:ascii="Times New Roman" w:hAnsi="Times New Roman" w:eastAsia="仿宋_GB2312"/>
          <w:sz w:val="32"/>
          <w:highlight w:val="none"/>
          <w:lang w:val="en-US" w:eastAsia="zh-CN"/>
        </w:rPr>
        <w:t>209.96</w:t>
      </w:r>
      <w:r>
        <w:rPr>
          <w:rFonts w:hint="eastAsia" w:ascii="Times New Roman" w:hAnsi="Times New Roman" w:eastAsia="仿宋_GB2312"/>
          <w:sz w:val="32"/>
          <w:highlight w:val="none"/>
        </w:rPr>
        <w:t>万</w:t>
      </w:r>
      <w:r>
        <w:rPr>
          <w:rFonts w:ascii="Times New Roman" w:hAnsi="Times New Roman" w:eastAsia="仿宋_GB2312"/>
          <w:sz w:val="32"/>
          <w:highlight w:val="none"/>
        </w:rPr>
        <w:t>元，</w:t>
      </w:r>
      <w:r>
        <w:rPr>
          <w:rFonts w:hint="eastAsia" w:ascii="Times New Roman" w:hAnsi="Times New Roman" w:eastAsia="仿宋_GB2312"/>
          <w:sz w:val="32"/>
          <w:highlight w:val="none"/>
        </w:rPr>
        <w:t>增</w:t>
      </w:r>
      <w:r>
        <w:rPr>
          <w:rFonts w:ascii="Times New Roman" w:hAnsi="Times New Roman" w:eastAsia="仿宋_GB2312"/>
          <w:sz w:val="32"/>
          <w:highlight w:val="none"/>
        </w:rPr>
        <w:t>长</w:t>
      </w:r>
      <w:r>
        <w:rPr>
          <w:rFonts w:hint="eastAsia" w:ascii="Times New Roman" w:hAnsi="Times New Roman" w:eastAsia="仿宋_GB2312"/>
          <w:sz w:val="32"/>
          <w:highlight w:val="none"/>
          <w:lang w:val="en-US" w:eastAsia="zh-CN"/>
        </w:rPr>
        <w:t>40.9</w:t>
      </w:r>
      <w:r>
        <w:rPr>
          <w:rFonts w:hint="eastAsia" w:ascii="Times New Roman" w:hAnsi="Times New Roman" w:eastAsia="仿宋_GB2312"/>
          <w:sz w:val="32"/>
          <w:highlight w:val="none"/>
        </w:rPr>
        <w:t>%，</w:t>
      </w:r>
      <w:r>
        <w:rPr>
          <w:rFonts w:ascii="Times New Roman" w:hAnsi="Times New Roman" w:eastAsia="仿宋_GB2312"/>
          <w:sz w:val="32"/>
          <w:highlight w:val="none"/>
        </w:rPr>
        <w:t>主要</w:t>
      </w:r>
      <w:r>
        <w:rPr>
          <w:rFonts w:hint="eastAsia" w:ascii="Times New Roman" w:hAnsi="Times New Roman" w:eastAsia="仿宋_GB2312"/>
          <w:sz w:val="32"/>
          <w:highlight w:val="none"/>
        </w:rPr>
        <w:t>是</w:t>
      </w:r>
      <w:r>
        <w:rPr>
          <w:rFonts w:hint="eastAsia" w:ascii="Times New Roman" w:hAnsi="Times New Roman" w:eastAsia="仿宋_GB2312"/>
          <w:sz w:val="32"/>
          <w:szCs w:val="30"/>
          <w:highlight w:val="none"/>
          <w:lang w:val="en-US" w:eastAsia="zh-CN"/>
        </w:rPr>
        <w:t>本年项目支出增加</w:t>
      </w:r>
      <w:bookmarkStart w:id="2" w:name="_GoBack"/>
      <w:bookmarkEnd w:id="2"/>
      <w:r>
        <w:rPr>
          <w:rFonts w:hint="eastAsia" w:ascii="Times New Roman" w:hAnsi="Times New Roman" w:eastAsia="仿宋_GB2312"/>
          <w:sz w:val="32"/>
          <w:szCs w:val="30"/>
          <w:highlight w:val="none"/>
          <w:lang w:val="en-US" w:eastAsia="zh-CN"/>
        </w:rPr>
        <w:t>，所以本年高于上年</w:t>
      </w:r>
      <w:r>
        <w:rPr>
          <w:rFonts w:hint="eastAsia" w:ascii="Times New Roman" w:hAnsi="Times New Roman" w:eastAsia="仿宋_GB2312"/>
          <w:sz w:val="32"/>
          <w:highlight w:val="none"/>
        </w:rPr>
        <w:t xml:space="preserve">。  </w:t>
      </w:r>
    </w:p>
    <w:p w14:paraId="5DD2E27D">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ascii="Times New Roman" w:hAnsi="Times New Roman" w:eastAsia="仿宋_GB2312"/>
          <w:sz w:val="32"/>
          <w:highlight w:val="none"/>
        </w:rPr>
      </w:pPr>
      <w:r>
        <w:rPr>
          <w:rFonts w:hint="eastAsia" w:ascii="Times New Roman" w:hAnsi="Times New Roman" w:eastAsia="仿宋_GB2312"/>
          <w:color w:val="FF0000"/>
          <w:sz w:val="32"/>
          <w:highlight w:val="none"/>
          <w:lang w:val="en-US" w:eastAsia="zh-CN"/>
        </w:rPr>
        <w:t xml:space="preserve"> </w:t>
      </w:r>
    </w:p>
    <w:p w14:paraId="38FB892E">
      <w:pPr>
        <w:keepNext w:val="0"/>
        <w:keepLines w:val="0"/>
        <w:pageBreakBefore w:val="0"/>
        <w:widowControl w:val="0"/>
        <w:kinsoku/>
        <w:wordWrap/>
        <w:overflowPunct/>
        <w:topLinePunct w:val="0"/>
        <w:bidi w:val="0"/>
        <w:spacing w:line="560" w:lineRule="exact"/>
        <w:ind w:right="0" w:rightChars="0"/>
        <w:textAlignment w:val="auto"/>
        <w:outlineLvl w:val="9"/>
        <w:rPr>
          <w:rFonts w:hint="eastAsia" w:ascii="Times New Roman" w:hAnsi="Times New Roman" w:eastAsia="黑体"/>
          <w:sz w:val="32"/>
          <w:highlight w:val="none"/>
        </w:rPr>
      </w:pPr>
      <w:r>
        <w:rPr>
          <w:rFonts w:hint="eastAsia" w:ascii="Times New Roman" w:hAnsi="Times New Roman" w:eastAsia="仿宋_GB2312"/>
          <w:sz w:val="32"/>
          <w:highlight w:val="none"/>
        </w:rPr>
        <w:t xml:space="preserve">    </w:t>
      </w:r>
      <w:r>
        <w:rPr>
          <w:rFonts w:hint="eastAsia" w:ascii="Times New Roman" w:hAnsi="Times New Roman" w:eastAsia="黑体"/>
          <w:sz w:val="32"/>
          <w:highlight w:val="none"/>
        </w:rPr>
        <w:t>四、</w:t>
      </w:r>
      <w:r>
        <w:rPr>
          <w:rFonts w:hint="eastAsia" w:ascii="Times New Roman" w:hAnsi="Times New Roman" w:eastAsia="黑体"/>
          <w:sz w:val="32"/>
          <w:szCs w:val="30"/>
          <w:highlight w:val="none"/>
        </w:rPr>
        <w:t>财政拨款收入支出决算总体情况说明</w:t>
      </w:r>
    </w:p>
    <w:p w14:paraId="45DB7276">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default" w:ascii="Times New Roman" w:hAnsi="Times New Roman" w:eastAsia="仿宋_GB2312"/>
          <w:sz w:val="32"/>
          <w:szCs w:val="30"/>
          <w:highlight w:val="none"/>
          <w:lang w:val="en-US" w:eastAsia="zh-CN"/>
        </w:rPr>
      </w:pPr>
      <w:r>
        <w:rPr>
          <w:rFonts w:hint="eastAsia" w:ascii="Times New Roman" w:hAnsi="Times New Roman" w:eastAsia="仿宋_GB2312"/>
          <w:sz w:val="32"/>
          <w:highlight w:val="none"/>
        </w:rPr>
        <w:t>202</w:t>
      </w:r>
      <w:r>
        <w:rPr>
          <w:rFonts w:hint="eastAsia" w:ascii="Times New Roman" w:hAnsi="Times New Roman" w:eastAsia="仿宋_GB2312"/>
          <w:sz w:val="32"/>
          <w:highlight w:val="none"/>
          <w:lang w:val="en-US" w:eastAsia="zh-CN"/>
        </w:rPr>
        <w:t>5</w:t>
      </w:r>
      <w:r>
        <w:rPr>
          <w:rFonts w:hint="eastAsia" w:ascii="Times New Roman" w:hAnsi="Times New Roman" w:eastAsia="仿宋_GB2312"/>
          <w:sz w:val="32"/>
          <w:highlight w:val="none"/>
        </w:rPr>
        <w:t>年度</w:t>
      </w:r>
      <w:r>
        <w:rPr>
          <w:rFonts w:hint="eastAsia" w:ascii="Times New Roman" w:hAnsi="Times New Roman" w:eastAsia="仿宋_GB2312"/>
          <w:sz w:val="32"/>
          <w:szCs w:val="30"/>
          <w:highlight w:val="none"/>
        </w:rPr>
        <w:t>财政拨款收</w:t>
      </w:r>
      <w:r>
        <w:rPr>
          <w:rFonts w:hint="eastAsia" w:ascii="Times New Roman" w:hAnsi="Times New Roman" w:eastAsia="仿宋_GB2312"/>
          <w:sz w:val="32"/>
          <w:szCs w:val="30"/>
          <w:highlight w:val="none"/>
          <w:lang w:eastAsia="zh-CN"/>
        </w:rPr>
        <w:t>入</w:t>
      </w:r>
      <w:r>
        <w:rPr>
          <w:rFonts w:hint="eastAsia" w:ascii="Times New Roman" w:hAnsi="Times New Roman" w:eastAsia="仿宋_GB2312"/>
          <w:sz w:val="32"/>
          <w:highlight w:val="none"/>
        </w:rPr>
        <w:t>总计为</w:t>
      </w:r>
      <w:r>
        <w:rPr>
          <w:rFonts w:hint="eastAsia" w:ascii="Times New Roman" w:hAnsi="Times New Roman" w:eastAsia="仿宋_GB2312"/>
          <w:sz w:val="32"/>
          <w:szCs w:val="30"/>
          <w:highlight w:val="none"/>
          <w:lang w:val="en-US" w:eastAsia="zh-CN"/>
        </w:rPr>
        <w:t>1269.56</w:t>
      </w:r>
      <w:r>
        <w:rPr>
          <w:rFonts w:hint="eastAsia" w:ascii="Times New Roman" w:hAnsi="Times New Roman" w:eastAsia="仿宋_GB2312"/>
          <w:sz w:val="32"/>
          <w:szCs w:val="30"/>
          <w:highlight w:val="none"/>
        </w:rPr>
        <w:t>万元。与202</w:t>
      </w:r>
      <w:r>
        <w:rPr>
          <w:rFonts w:hint="eastAsia" w:ascii="Times New Roman" w:hAnsi="Times New Roman" w:eastAsia="仿宋_GB2312"/>
          <w:sz w:val="32"/>
          <w:szCs w:val="30"/>
          <w:highlight w:val="none"/>
          <w:lang w:val="en-US" w:eastAsia="zh-CN"/>
        </w:rPr>
        <w:t>4</w:t>
      </w:r>
      <w:r>
        <w:rPr>
          <w:rFonts w:hint="eastAsia" w:ascii="Times New Roman" w:hAnsi="Times New Roman" w:eastAsia="仿宋_GB2312"/>
          <w:sz w:val="32"/>
          <w:szCs w:val="30"/>
          <w:highlight w:val="none"/>
        </w:rPr>
        <w:t>年度相比，</w:t>
      </w:r>
      <w:r>
        <w:rPr>
          <w:rFonts w:hint="eastAsia" w:ascii="Times New Roman" w:hAnsi="Times New Roman" w:eastAsia="仿宋_GB2312"/>
          <w:sz w:val="32"/>
          <w:szCs w:val="30"/>
          <w:highlight w:val="none"/>
          <w:lang w:eastAsia="zh-CN"/>
        </w:rPr>
        <w:t>同比</w:t>
      </w:r>
      <w:r>
        <w:rPr>
          <w:rFonts w:hint="eastAsia" w:ascii="Times New Roman" w:hAnsi="Times New Roman" w:eastAsia="仿宋_GB2312"/>
          <w:sz w:val="32"/>
          <w:szCs w:val="30"/>
          <w:highlight w:val="none"/>
        </w:rPr>
        <w:t>增加</w:t>
      </w:r>
      <w:r>
        <w:rPr>
          <w:rFonts w:hint="eastAsia" w:ascii="Times New Roman" w:hAnsi="Times New Roman" w:eastAsia="仿宋_GB2312"/>
          <w:sz w:val="32"/>
          <w:szCs w:val="30"/>
          <w:highlight w:val="none"/>
          <w:lang w:val="en-US" w:eastAsia="zh-CN"/>
        </w:rPr>
        <w:t>186.95</w:t>
      </w:r>
      <w:r>
        <w:rPr>
          <w:rFonts w:hint="eastAsia" w:ascii="Times New Roman" w:hAnsi="Times New Roman" w:eastAsia="仿宋_GB2312"/>
          <w:sz w:val="32"/>
          <w:szCs w:val="30"/>
          <w:highlight w:val="none"/>
        </w:rPr>
        <w:t>万元，增长</w:t>
      </w:r>
      <w:r>
        <w:rPr>
          <w:rFonts w:hint="eastAsia" w:ascii="Times New Roman" w:hAnsi="Times New Roman" w:eastAsia="仿宋_GB2312"/>
          <w:sz w:val="32"/>
          <w:szCs w:val="30"/>
          <w:highlight w:val="none"/>
          <w:lang w:val="en-US" w:eastAsia="zh-CN"/>
        </w:rPr>
        <w:t>14.7</w:t>
      </w:r>
      <w:r>
        <w:rPr>
          <w:rFonts w:hint="eastAsia" w:ascii="Times New Roman" w:hAnsi="Times New Roman" w:eastAsia="仿宋_GB2312"/>
          <w:sz w:val="32"/>
          <w:szCs w:val="30"/>
          <w:highlight w:val="none"/>
        </w:rPr>
        <w:t>%。主要原因</w:t>
      </w:r>
      <w:r>
        <w:rPr>
          <w:rFonts w:hint="eastAsia" w:ascii="Times New Roman" w:hAnsi="Times New Roman" w:eastAsia="仿宋_GB2312"/>
          <w:sz w:val="32"/>
          <w:szCs w:val="30"/>
          <w:highlight w:val="none"/>
          <w:lang w:eastAsia="zh-CN"/>
        </w:rPr>
        <w:t>是：</w:t>
      </w:r>
      <w:r>
        <w:rPr>
          <w:rFonts w:hint="eastAsia" w:ascii="Times New Roman" w:hAnsi="Times New Roman" w:eastAsia="仿宋_GB2312"/>
          <w:sz w:val="32"/>
          <w:szCs w:val="30"/>
          <w:highlight w:val="none"/>
          <w:lang w:val="en-US" w:eastAsia="zh-CN"/>
        </w:rPr>
        <w:t>本年项目收入增加，所以本年收入高于上年。</w:t>
      </w:r>
    </w:p>
    <w:p w14:paraId="4E220A28">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default" w:ascii="Times New Roman" w:hAnsi="Times New Roman" w:eastAsia="仿宋_GB2312"/>
          <w:sz w:val="32"/>
          <w:szCs w:val="30"/>
          <w:highlight w:val="none"/>
          <w:lang w:val="en-US" w:eastAsia="zh-CN"/>
        </w:rPr>
      </w:pPr>
      <w:r>
        <w:rPr>
          <w:rFonts w:hint="eastAsia" w:ascii="Times New Roman" w:hAnsi="Times New Roman" w:eastAsia="仿宋_GB2312"/>
          <w:sz w:val="32"/>
          <w:highlight w:val="none"/>
        </w:rPr>
        <w:t>202</w:t>
      </w:r>
      <w:r>
        <w:rPr>
          <w:rFonts w:hint="eastAsia" w:ascii="Times New Roman" w:hAnsi="Times New Roman" w:eastAsia="仿宋_GB2312"/>
          <w:sz w:val="32"/>
          <w:highlight w:val="none"/>
          <w:lang w:val="en-US" w:eastAsia="zh-CN"/>
        </w:rPr>
        <w:t>5</w:t>
      </w:r>
      <w:r>
        <w:rPr>
          <w:rFonts w:hint="eastAsia" w:ascii="Times New Roman" w:hAnsi="Times New Roman" w:eastAsia="仿宋_GB2312"/>
          <w:sz w:val="32"/>
          <w:highlight w:val="none"/>
        </w:rPr>
        <w:t>年度</w:t>
      </w:r>
      <w:r>
        <w:rPr>
          <w:rFonts w:hint="eastAsia" w:ascii="Times New Roman" w:hAnsi="Times New Roman" w:eastAsia="仿宋_GB2312"/>
          <w:sz w:val="32"/>
          <w:szCs w:val="30"/>
          <w:highlight w:val="none"/>
        </w:rPr>
        <w:t>财政拨款</w:t>
      </w:r>
      <w:r>
        <w:rPr>
          <w:rFonts w:hint="eastAsia" w:ascii="Times New Roman" w:hAnsi="Times New Roman" w:eastAsia="仿宋_GB2312"/>
          <w:sz w:val="32"/>
          <w:highlight w:val="none"/>
          <w:lang w:eastAsia="zh-CN"/>
        </w:rPr>
        <w:t>支出</w:t>
      </w:r>
      <w:r>
        <w:rPr>
          <w:rFonts w:hint="eastAsia" w:ascii="Times New Roman" w:hAnsi="Times New Roman" w:eastAsia="仿宋_GB2312"/>
          <w:sz w:val="32"/>
          <w:highlight w:val="none"/>
        </w:rPr>
        <w:t>总计为</w:t>
      </w:r>
      <w:r>
        <w:rPr>
          <w:rFonts w:hint="eastAsia" w:ascii="Times New Roman" w:hAnsi="Times New Roman" w:eastAsia="仿宋_GB2312"/>
          <w:sz w:val="32"/>
          <w:szCs w:val="30"/>
          <w:highlight w:val="none"/>
          <w:lang w:val="en-US" w:eastAsia="zh-CN"/>
        </w:rPr>
        <w:t>1267.77</w:t>
      </w:r>
      <w:r>
        <w:rPr>
          <w:rFonts w:hint="eastAsia" w:ascii="Times New Roman" w:hAnsi="Times New Roman" w:eastAsia="仿宋_GB2312"/>
          <w:sz w:val="32"/>
          <w:szCs w:val="30"/>
          <w:highlight w:val="none"/>
        </w:rPr>
        <w:t>万元。与202</w:t>
      </w:r>
      <w:r>
        <w:rPr>
          <w:rFonts w:hint="eastAsia" w:ascii="Times New Roman" w:hAnsi="Times New Roman" w:eastAsia="仿宋_GB2312"/>
          <w:sz w:val="32"/>
          <w:szCs w:val="30"/>
          <w:highlight w:val="none"/>
          <w:lang w:val="en-US" w:eastAsia="zh-CN"/>
        </w:rPr>
        <w:t>4</w:t>
      </w:r>
      <w:r>
        <w:rPr>
          <w:rFonts w:hint="eastAsia" w:ascii="Times New Roman" w:hAnsi="Times New Roman" w:eastAsia="仿宋_GB2312"/>
          <w:sz w:val="32"/>
          <w:szCs w:val="30"/>
          <w:highlight w:val="none"/>
        </w:rPr>
        <w:t>年度相比，</w:t>
      </w:r>
      <w:r>
        <w:rPr>
          <w:rFonts w:hint="eastAsia" w:ascii="Times New Roman" w:hAnsi="Times New Roman" w:eastAsia="仿宋_GB2312"/>
          <w:sz w:val="32"/>
          <w:szCs w:val="30"/>
          <w:highlight w:val="none"/>
          <w:lang w:eastAsia="zh-CN"/>
        </w:rPr>
        <w:t>同比</w:t>
      </w:r>
      <w:r>
        <w:rPr>
          <w:rFonts w:hint="eastAsia" w:ascii="Times New Roman" w:hAnsi="Times New Roman" w:eastAsia="仿宋_GB2312"/>
          <w:sz w:val="32"/>
          <w:szCs w:val="30"/>
          <w:highlight w:val="none"/>
        </w:rPr>
        <w:t>增加</w:t>
      </w:r>
      <w:r>
        <w:rPr>
          <w:rFonts w:hint="eastAsia" w:ascii="Times New Roman" w:hAnsi="Times New Roman" w:eastAsia="仿宋_GB2312"/>
          <w:sz w:val="32"/>
          <w:szCs w:val="30"/>
          <w:highlight w:val="none"/>
          <w:lang w:val="en-US" w:eastAsia="zh-CN"/>
        </w:rPr>
        <w:t>195.82</w:t>
      </w:r>
      <w:r>
        <w:rPr>
          <w:rFonts w:hint="eastAsia" w:ascii="Times New Roman" w:hAnsi="Times New Roman" w:eastAsia="仿宋_GB2312"/>
          <w:sz w:val="32"/>
          <w:szCs w:val="30"/>
          <w:highlight w:val="none"/>
        </w:rPr>
        <w:t>万元，增长</w:t>
      </w:r>
      <w:r>
        <w:rPr>
          <w:rFonts w:hint="eastAsia" w:ascii="Times New Roman" w:hAnsi="Times New Roman" w:eastAsia="仿宋_GB2312"/>
          <w:sz w:val="32"/>
          <w:szCs w:val="30"/>
          <w:highlight w:val="none"/>
          <w:lang w:val="en-US" w:eastAsia="zh-CN"/>
        </w:rPr>
        <w:t>15.4</w:t>
      </w:r>
      <w:r>
        <w:rPr>
          <w:rFonts w:hint="eastAsia" w:ascii="Times New Roman" w:hAnsi="Times New Roman" w:eastAsia="仿宋_GB2312"/>
          <w:sz w:val="32"/>
          <w:szCs w:val="30"/>
          <w:highlight w:val="none"/>
        </w:rPr>
        <w:t>%。主要原因</w:t>
      </w:r>
      <w:r>
        <w:rPr>
          <w:rFonts w:hint="eastAsia" w:ascii="Times New Roman" w:hAnsi="Times New Roman" w:eastAsia="仿宋_GB2312"/>
          <w:sz w:val="32"/>
          <w:szCs w:val="30"/>
          <w:highlight w:val="none"/>
          <w:lang w:eastAsia="zh-CN"/>
        </w:rPr>
        <w:t>是：</w:t>
      </w:r>
      <w:r>
        <w:rPr>
          <w:rFonts w:hint="eastAsia" w:ascii="Times New Roman" w:hAnsi="Times New Roman" w:eastAsia="仿宋_GB2312"/>
          <w:sz w:val="32"/>
          <w:szCs w:val="30"/>
          <w:highlight w:val="none"/>
          <w:lang w:val="en-US" w:eastAsia="zh-CN"/>
        </w:rPr>
        <w:t>本年项目支出增加，所以本年支出高于上年。</w:t>
      </w:r>
    </w:p>
    <w:p w14:paraId="6BFD7A9E">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ascii="Times New Roman" w:hAnsi="Times New Roman" w:eastAsia="仿宋_GB2312"/>
          <w:sz w:val="32"/>
          <w:highlight w:val="none"/>
        </w:rPr>
      </w:pPr>
      <w:r>
        <w:rPr>
          <w:rFonts w:hint="eastAsia" w:ascii="Times New Roman" w:hAnsi="Times New Roman" w:eastAsia="仿宋_GB2312"/>
          <w:color w:val="FF0000"/>
          <w:sz w:val="32"/>
          <w:szCs w:val="30"/>
          <w:highlight w:val="none"/>
          <w:lang w:val="en-US" w:eastAsia="zh-CN"/>
        </w:rPr>
        <w:t xml:space="preserve"> </w:t>
      </w:r>
    </w:p>
    <w:p w14:paraId="1D73415D">
      <w:pPr>
        <w:keepNext w:val="0"/>
        <w:keepLines w:val="0"/>
        <w:pageBreakBefore w:val="0"/>
        <w:widowControl w:val="0"/>
        <w:kinsoku/>
        <w:wordWrap/>
        <w:overflowPunct/>
        <w:topLinePunct w:val="0"/>
        <w:bidi w:val="0"/>
        <w:spacing w:line="560" w:lineRule="exact"/>
        <w:ind w:right="0" w:rightChars="0"/>
        <w:textAlignment w:val="auto"/>
        <w:outlineLvl w:val="9"/>
        <w:rPr>
          <w:rFonts w:hint="eastAsia" w:ascii="Times New Roman" w:hAnsi="Times New Roman" w:eastAsia="黑体"/>
          <w:sz w:val="32"/>
          <w:highlight w:val="none"/>
        </w:rPr>
      </w:pPr>
      <w:r>
        <w:rPr>
          <w:rFonts w:hint="eastAsia" w:ascii="Times New Roman" w:hAnsi="Times New Roman" w:eastAsia="仿宋_GB2312"/>
          <w:sz w:val="32"/>
          <w:highlight w:val="none"/>
        </w:rPr>
        <w:t xml:space="preserve">    </w:t>
      </w:r>
      <w:r>
        <w:rPr>
          <w:rFonts w:hint="eastAsia" w:ascii="Times New Roman" w:hAnsi="Times New Roman" w:eastAsia="黑体"/>
          <w:sz w:val="32"/>
          <w:highlight w:val="none"/>
        </w:rPr>
        <w:t>五、</w:t>
      </w:r>
      <w:r>
        <w:rPr>
          <w:rFonts w:hint="eastAsia" w:ascii="Times New Roman" w:hAnsi="Times New Roman" w:eastAsia="黑体"/>
          <w:sz w:val="32"/>
          <w:szCs w:val="30"/>
          <w:highlight w:val="none"/>
        </w:rPr>
        <w:t>一般公共预算财政拨款支出决算情况说明</w:t>
      </w:r>
    </w:p>
    <w:p w14:paraId="64854AD7">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楷体_GB2312" w:cs="楷体_GB2312"/>
          <w:b w:val="0"/>
          <w:bCs w:val="0"/>
          <w:sz w:val="32"/>
          <w:highlight w:val="none"/>
        </w:rPr>
      </w:pPr>
      <w:r>
        <w:rPr>
          <w:rFonts w:hint="eastAsia" w:ascii="Times New Roman" w:hAnsi="Times New Roman" w:eastAsia="楷体_GB2312" w:cs="楷体_GB2312"/>
          <w:b w:val="0"/>
          <w:bCs w:val="0"/>
          <w:sz w:val="32"/>
          <w:highlight w:val="none"/>
        </w:rPr>
        <w:t>（一）一般公共预算财政拨款支出决算总体情况</w:t>
      </w:r>
    </w:p>
    <w:p w14:paraId="27BB6C76">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仿宋_GB2312"/>
          <w:sz w:val="32"/>
          <w:szCs w:val="30"/>
          <w:highlight w:val="none"/>
        </w:rPr>
      </w:pPr>
      <w:r>
        <w:rPr>
          <w:rFonts w:hint="eastAsia" w:ascii="Times New Roman" w:hAnsi="Times New Roman" w:eastAsia="仿宋_GB2312"/>
          <w:sz w:val="32"/>
          <w:highlight w:val="none"/>
        </w:rPr>
        <w:t>202</w:t>
      </w:r>
      <w:r>
        <w:rPr>
          <w:rFonts w:hint="eastAsia" w:ascii="Times New Roman" w:hAnsi="Times New Roman" w:eastAsia="仿宋_GB2312"/>
          <w:sz w:val="32"/>
          <w:highlight w:val="none"/>
          <w:lang w:val="en-US" w:eastAsia="zh-CN"/>
        </w:rPr>
        <w:t>5</w:t>
      </w:r>
      <w:r>
        <w:rPr>
          <w:rFonts w:hint="eastAsia" w:ascii="Times New Roman" w:hAnsi="Times New Roman" w:eastAsia="仿宋_GB2312"/>
          <w:sz w:val="32"/>
          <w:highlight w:val="none"/>
        </w:rPr>
        <w:t>年</w:t>
      </w:r>
      <w:r>
        <w:rPr>
          <w:rFonts w:hint="eastAsia" w:ascii="Times New Roman" w:hAnsi="Times New Roman" w:eastAsia="仿宋_GB2312"/>
          <w:sz w:val="32"/>
          <w:szCs w:val="30"/>
          <w:highlight w:val="none"/>
        </w:rPr>
        <w:t>度一般公共预算财政拨款支出</w:t>
      </w:r>
      <w:r>
        <w:rPr>
          <w:rFonts w:hint="eastAsia" w:ascii="Times New Roman" w:hAnsi="Times New Roman" w:eastAsia="仿宋_GB2312"/>
          <w:sz w:val="32"/>
          <w:szCs w:val="30"/>
          <w:highlight w:val="none"/>
          <w:lang w:val="en-US" w:eastAsia="zh-CN"/>
        </w:rPr>
        <w:t>1267.77</w:t>
      </w:r>
      <w:r>
        <w:rPr>
          <w:rFonts w:hint="eastAsia" w:ascii="Times New Roman" w:hAnsi="Times New Roman" w:eastAsia="仿宋_GB2312"/>
          <w:sz w:val="32"/>
          <w:szCs w:val="30"/>
          <w:highlight w:val="none"/>
        </w:rPr>
        <w:t>万元，占本年支出合计的</w:t>
      </w:r>
      <w:r>
        <w:rPr>
          <w:rFonts w:hint="eastAsia" w:ascii="Times New Roman" w:hAnsi="Times New Roman" w:eastAsia="仿宋_GB2312"/>
          <w:sz w:val="32"/>
          <w:szCs w:val="30"/>
          <w:highlight w:val="none"/>
          <w:lang w:val="en-US" w:eastAsia="zh-CN"/>
        </w:rPr>
        <w:t>99.86</w:t>
      </w:r>
      <w:r>
        <w:rPr>
          <w:rFonts w:hint="eastAsia" w:ascii="Times New Roman" w:hAnsi="Times New Roman" w:eastAsia="仿宋_GB2312"/>
          <w:sz w:val="32"/>
          <w:szCs w:val="30"/>
          <w:highlight w:val="none"/>
        </w:rPr>
        <w:t>%。与202</w:t>
      </w:r>
      <w:r>
        <w:rPr>
          <w:rFonts w:hint="eastAsia" w:ascii="Times New Roman" w:hAnsi="Times New Roman" w:eastAsia="仿宋_GB2312"/>
          <w:sz w:val="32"/>
          <w:szCs w:val="30"/>
          <w:highlight w:val="none"/>
          <w:lang w:val="en-US" w:eastAsia="zh-CN"/>
        </w:rPr>
        <w:t>4</w:t>
      </w:r>
      <w:r>
        <w:rPr>
          <w:rFonts w:hint="eastAsia" w:ascii="Times New Roman" w:hAnsi="Times New Roman" w:eastAsia="仿宋_GB2312"/>
          <w:sz w:val="32"/>
          <w:szCs w:val="30"/>
          <w:highlight w:val="none"/>
        </w:rPr>
        <w:t>年度相比，一般公共预算财政拨款支出增加</w:t>
      </w:r>
      <w:r>
        <w:rPr>
          <w:rFonts w:hint="eastAsia" w:ascii="Times New Roman" w:hAnsi="Times New Roman" w:eastAsia="仿宋_GB2312"/>
          <w:sz w:val="32"/>
          <w:szCs w:val="30"/>
          <w:highlight w:val="none"/>
          <w:lang w:val="en-US" w:eastAsia="zh-CN"/>
        </w:rPr>
        <w:t>195.82</w:t>
      </w:r>
      <w:r>
        <w:rPr>
          <w:rFonts w:hint="eastAsia" w:ascii="Times New Roman" w:hAnsi="Times New Roman" w:eastAsia="仿宋_GB2312"/>
          <w:sz w:val="32"/>
          <w:szCs w:val="30"/>
          <w:highlight w:val="none"/>
        </w:rPr>
        <w:t>万元，增长</w:t>
      </w:r>
      <w:r>
        <w:rPr>
          <w:rFonts w:hint="eastAsia" w:ascii="Times New Roman" w:hAnsi="Times New Roman" w:eastAsia="仿宋_GB2312"/>
          <w:sz w:val="32"/>
          <w:szCs w:val="30"/>
          <w:highlight w:val="none"/>
          <w:lang w:val="en-US" w:eastAsia="zh-CN"/>
        </w:rPr>
        <w:t>15.4</w:t>
      </w:r>
      <w:r>
        <w:rPr>
          <w:rFonts w:hint="eastAsia" w:ascii="Times New Roman" w:hAnsi="Times New Roman" w:eastAsia="仿宋_GB2312"/>
          <w:sz w:val="32"/>
          <w:szCs w:val="30"/>
          <w:highlight w:val="none"/>
        </w:rPr>
        <w:t xml:space="preserve"> %。主要原因</w:t>
      </w:r>
      <w:r>
        <w:rPr>
          <w:rFonts w:hint="eastAsia" w:ascii="Times New Roman" w:hAnsi="Times New Roman" w:eastAsia="仿宋_GB2312"/>
          <w:sz w:val="32"/>
          <w:szCs w:val="30"/>
          <w:highlight w:val="none"/>
          <w:lang w:eastAsia="zh-CN"/>
        </w:rPr>
        <w:t>是</w:t>
      </w:r>
      <w:r>
        <w:rPr>
          <w:rFonts w:hint="eastAsia" w:ascii="Times New Roman" w:hAnsi="Times New Roman" w:eastAsia="仿宋_GB2312"/>
          <w:sz w:val="32"/>
          <w:szCs w:val="30"/>
          <w:highlight w:val="none"/>
        </w:rPr>
        <w:t>：</w:t>
      </w:r>
      <w:r>
        <w:rPr>
          <w:rFonts w:hint="eastAsia" w:ascii="Times New Roman" w:hAnsi="Times New Roman" w:eastAsia="仿宋_GB2312"/>
          <w:sz w:val="32"/>
          <w:szCs w:val="30"/>
          <w:highlight w:val="none"/>
          <w:lang w:val="en-US" w:eastAsia="zh-CN"/>
        </w:rPr>
        <w:t>本年项目支出较上年增加，所以本年高于上年。</w:t>
      </w:r>
      <w:r>
        <w:rPr>
          <w:rFonts w:hint="eastAsia" w:ascii="Times New Roman" w:hAnsi="Times New Roman" w:eastAsia="仿宋_GB2312"/>
          <w:sz w:val="32"/>
          <w:szCs w:val="30"/>
          <w:highlight w:val="none"/>
        </w:rPr>
        <w:t xml:space="preserve"> </w:t>
      </w:r>
    </w:p>
    <w:p w14:paraId="2A7F25BF">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仿宋_GB2312"/>
          <w:b/>
          <w:bCs/>
          <w:sz w:val="32"/>
          <w:highlight w:val="none"/>
        </w:rPr>
      </w:pPr>
      <w:r>
        <w:rPr>
          <w:rFonts w:hint="eastAsia" w:ascii="Times New Roman" w:hAnsi="Times New Roman" w:eastAsia="楷体_GB2312" w:cs="楷体_GB2312"/>
          <w:b w:val="0"/>
          <w:bCs w:val="0"/>
          <w:sz w:val="32"/>
          <w:highlight w:val="none"/>
        </w:rPr>
        <w:t>（二）一般公共预算财政拨款支出决算结构情况</w:t>
      </w:r>
    </w:p>
    <w:p w14:paraId="4D20A6FD">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仿宋_GB2312"/>
          <w:sz w:val="32"/>
          <w:szCs w:val="30"/>
          <w:highlight w:val="none"/>
          <w:lang w:val="en-US" w:eastAsia="zh-CN"/>
        </w:rPr>
      </w:pPr>
      <w:r>
        <w:rPr>
          <w:rFonts w:hint="eastAsia" w:ascii="Times New Roman" w:hAnsi="Times New Roman" w:eastAsia="仿宋_GB2312"/>
          <w:sz w:val="32"/>
          <w:szCs w:val="30"/>
          <w:highlight w:val="none"/>
        </w:rPr>
        <w:t>202</w:t>
      </w:r>
      <w:r>
        <w:rPr>
          <w:rFonts w:hint="eastAsia" w:ascii="Times New Roman" w:hAnsi="Times New Roman" w:eastAsia="仿宋_GB2312"/>
          <w:sz w:val="32"/>
          <w:szCs w:val="30"/>
          <w:highlight w:val="none"/>
          <w:lang w:val="en-US" w:eastAsia="zh-CN"/>
        </w:rPr>
        <w:t>5</w:t>
      </w:r>
      <w:r>
        <w:rPr>
          <w:rFonts w:hint="eastAsia" w:ascii="Times New Roman" w:hAnsi="Times New Roman" w:eastAsia="仿宋_GB2312"/>
          <w:sz w:val="32"/>
          <w:szCs w:val="30"/>
          <w:highlight w:val="none"/>
        </w:rPr>
        <w:t>年度一般公共预算财政拨款支出</w:t>
      </w:r>
      <w:r>
        <w:rPr>
          <w:rFonts w:hint="eastAsia" w:ascii="Times New Roman" w:hAnsi="Times New Roman" w:eastAsia="仿宋_GB2312"/>
          <w:sz w:val="32"/>
          <w:szCs w:val="30"/>
          <w:highlight w:val="none"/>
          <w:lang w:val="en-US" w:eastAsia="zh-CN"/>
        </w:rPr>
        <w:t>1267.77</w:t>
      </w:r>
      <w:r>
        <w:rPr>
          <w:rFonts w:hint="eastAsia" w:ascii="Times New Roman" w:hAnsi="Times New Roman" w:eastAsia="仿宋_GB2312"/>
          <w:sz w:val="32"/>
          <w:szCs w:val="30"/>
          <w:highlight w:val="none"/>
        </w:rPr>
        <w:t>万元，主要用于以下方面：一般公共服务支出</w:t>
      </w:r>
      <w:r>
        <w:rPr>
          <w:rFonts w:hint="eastAsia" w:ascii="Times New Roman" w:hAnsi="Times New Roman" w:eastAsia="仿宋_GB2312"/>
          <w:sz w:val="32"/>
          <w:szCs w:val="30"/>
          <w:highlight w:val="none"/>
          <w:lang w:val="en-US" w:eastAsia="zh-CN"/>
        </w:rPr>
        <w:t>1154.7</w:t>
      </w:r>
      <w:r>
        <w:rPr>
          <w:rFonts w:hint="eastAsia" w:ascii="Times New Roman" w:hAnsi="Times New Roman" w:eastAsia="仿宋_GB2312"/>
          <w:sz w:val="32"/>
          <w:szCs w:val="30"/>
          <w:highlight w:val="none"/>
        </w:rPr>
        <w:t>万元，占</w:t>
      </w:r>
      <w:r>
        <w:rPr>
          <w:rFonts w:hint="eastAsia" w:ascii="Times New Roman" w:hAnsi="Times New Roman" w:eastAsia="仿宋_GB2312"/>
          <w:sz w:val="32"/>
          <w:szCs w:val="30"/>
          <w:highlight w:val="none"/>
          <w:lang w:val="en-US" w:eastAsia="zh-CN"/>
        </w:rPr>
        <w:t>91.1</w:t>
      </w:r>
      <w:r>
        <w:rPr>
          <w:rFonts w:hint="eastAsia" w:ascii="Times New Roman" w:hAnsi="Times New Roman" w:eastAsia="仿宋_GB2312"/>
          <w:sz w:val="32"/>
          <w:szCs w:val="30"/>
          <w:highlight w:val="none"/>
        </w:rPr>
        <w:t xml:space="preserve"> %；</w:t>
      </w:r>
      <w:r>
        <w:rPr>
          <w:rFonts w:hint="eastAsia" w:ascii="Times New Roman" w:hAnsi="Times New Roman" w:eastAsia="仿宋_GB2312"/>
          <w:sz w:val="32"/>
          <w:szCs w:val="30"/>
          <w:highlight w:val="none"/>
          <w:lang w:val="en-US" w:eastAsia="zh-CN"/>
        </w:rPr>
        <w:t>农林水</w:t>
      </w:r>
      <w:r>
        <w:rPr>
          <w:rFonts w:hint="eastAsia" w:ascii="Times New Roman" w:hAnsi="Times New Roman" w:eastAsia="仿宋_GB2312"/>
          <w:sz w:val="32"/>
          <w:szCs w:val="30"/>
          <w:highlight w:val="none"/>
        </w:rPr>
        <w:t>支出</w:t>
      </w:r>
      <w:r>
        <w:rPr>
          <w:rFonts w:hint="eastAsia" w:ascii="Times New Roman" w:hAnsi="Times New Roman" w:eastAsia="仿宋_GB2312"/>
          <w:sz w:val="32"/>
          <w:szCs w:val="30"/>
          <w:highlight w:val="none"/>
          <w:lang w:val="en-US" w:eastAsia="zh-CN"/>
        </w:rPr>
        <w:t>15.02</w:t>
      </w:r>
      <w:r>
        <w:rPr>
          <w:rFonts w:hint="eastAsia" w:ascii="Times New Roman" w:hAnsi="Times New Roman" w:eastAsia="仿宋_GB2312"/>
          <w:sz w:val="32"/>
          <w:szCs w:val="30"/>
          <w:highlight w:val="none"/>
        </w:rPr>
        <w:t>万元，占</w:t>
      </w:r>
      <w:r>
        <w:rPr>
          <w:rFonts w:hint="eastAsia" w:ascii="Times New Roman" w:hAnsi="Times New Roman" w:eastAsia="仿宋_GB2312"/>
          <w:sz w:val="32"/>
          <w:szCs w:val="30"/>
          <w:highlight w:val="none"/>
          <w:lang w:val="en-US" w:eastAsia="zh-CN"/>
        </w:rPr>
        <w:t>1.2</w:t>
      </w:r>
      <w:r>
        <w:rPr>
          <w:rFonts w:hint="eastAsia" w:ascii="Times New Roman" w:hAnsi="Times New Roman" w:eastAsia="仿宋_GB2312"/>
          <w:sz w:val="32"/>
          <w:szCs w:val="30"/>
          <w:highlight w:val="none"/>
        </w:rPr>
        <w:t>%；</w:t>
      </w:r>
      <w:r>
        <w:rPr>
          <w:rFonts w:hint="eastAsia" w:ascii="Times New Roman" w:hAnsi="Times New Roman" w:eastAsia="仿宋_GB2312"/>
          <w:sz w:val="32"/>
          <w:szCs w:val="30"/>
          <w:highlight w:val="none"/>
          <w:lang w:val="en-US" w:eastAsia="zh-CN"/>
        </w:rPr>
        <w:t>住房保障</w:t>
      </w:r>
      <w:r>
        <w:rPr>
          <w:rFonts w:hint="eastAsia" w:ascii="Times New Roman" w:hAnsi="Times New Roman" w:eastAsia="仿宋_GB2312"/>
          <w:sz w:val="32"/>
          <w:szCs w:val="30"/>
          <w:highlight w:val="none"/>
        </w:rPr>
        <w:t>支出</w:t>
      </w:r>
      <w:r>
        <w:rPr>
          <w:rFonts w:hint="eastAsia" w:ascii="Times New Roman" w:hAnsi="Times New Roman" w:eastAsia="仿宋_GB2312"/>
          <w:sz w:val="32"/>
          <w:szCs w:val="30"/>
          <w:highlight w:val="none"/>
          <w:lang w:val="en-US" w:eastAsia="zh-CN"/>
        </w:rPr>
        <w:t>69.17</w:t>
      </w:r>
      <w:r>
        <w:rPr>
          <w:rFonts w:hint="eastAsia" w:ascii="Times New Roman" w:hAnsi="Times New Roman" w:eastAsia="仿宋_GB2312"/>
          <w:sz w:val="32"/>
          <w:szCs w:val="30"/>
          <w:highlight w:val="none"/>
        </w:rPr>
        <w:t>万元，占</w:t>
      </w:r>
      <w:r>
        <w:rPr>
          <w:rFonts w:hint="eastAsia" w:ascii="Times New Roman" w:hAnsi="Times New Roman" w:eastAsia="仿宋_GB2312"/>
          <w:sz w:val="32"/>
          <w:szCs w:val="30"/>
          <w:highlight w:val="none"/>
          <w:lang w:val="en-US" w:eastAsia="zh-CN"/>
        </w:rPr>
        <w:t>5.5</w:t>
      </w:r>
      <w:r>
        <w:rPr>
          <w:rFonts w:hint="eastAsia" w:ascii="Times New Roman" w:hAnsi="Times New Roman" w:eastAsia="仿宋_GB2312"/>
          <w:sz w:val="32"/>
          <w:szCs w:val="30"/>
          <w:highlight w:val="none"/>
        </w:rPr>
        <w:t>%</w:t>
      </w:r>
      <w:r>
        <w:rPr>
          <w:rFonts w:hint="eastAsia" w:ascii="Times New Roman" w:hAnsi="Times New Roman" w:eastAsia="仿宋_GB2312"/>
          <w:sz w:val="32"/>
          <w:szCs w:val="30"/>
          <w:highlight w:val="none"/>
          <w:lang w:eastAsia="zh-CN"/>
        </w:rPr>
        <w:t>。</w:t>
      </w:r>
    </w:p>
    <w:p w14:paraId="0BF3E537">
      <w:pPr>
        <w:keepNext w:val="0"/>
        <w:keepLines w:val="0"/>
        <w:pageBreakBefore w:val="0"/>
        <w:widowControl w:val="0"/>
        <w:kinsoku/>
        <w:wordWrap/>
        <w:overflowPunct/>
        <w:topLinePunct w:val="0"/>
        <w:bidi w:val="0"/>
        <w:spacing w:line="560" w:lineRule="exact"/>
        <w:ind w:right="0" w:rightChars="0"/>
        <w:textAlignment w:val="auto"/>
        <w:outlineLvl w:val="9"/>
        <w:rPr>
          <w:rFonts w:hint="eastAsia" w:ascii="Times New Roman" w:hAnsi="Times New Roman" w:eastAsia="楷体_GB2312" w:cs="楷体_GB2312"/>
          <w:b w:val="0"/>
          <w:bCs w:val="0"/>
          <w:sz w:val="32"/>
          <w:highlight w:val="none"/>
        </w:rPr>
      </w:pPr>
      <w:r>
        <w:rPr>
          <w:rFonts w:hint="eastAsia" w:ascii="Times New Roman" w:hAnsi="Times New Roman" w:eastAsia="楷体_GB2312" w:cs="楷体_GB2312"/>
          <w:b w:val="0"/>
          <w:bCs w:val="0"/>
          <w:sz w:val="32"/>
          <w:highlight w:val="none"/>
        </w:rPr>
        <w:t xml:space="preserve">    （三）一般公共预算财政拨款支出决算具体情况</w:t>
      </w:r>
    </w:p>
    <w:p w14:paraId="7C3887C0">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仿宋_GB2312"/>
          <w:sz w:val="32"/>
          <w:szCs w:val="30"/>
          <w:highlight w:val="none"/>
        </w:rPr>
      </w:pPr>
      <w:r>
        <w:rPr>
          <w:rFonts w:hint="eastAsia" w:ascii="Times New Roman" w:hAnsi="Times New Roman" w:eastAsia="仿宋_GB2312"/>
          <w:sz w:val="32"/>
          <w:szCs w:val="30"/>
          <w:highlight w:val="none"/>
        </w:rPr>
        <w:t>202</w:t>
      </w:r>
      <w:r>
        <w:rPr>
          <w:rFonts w:hint="eastAsia" w:ascii="Times New Roman" w:hAnsi="Times New Roman" w:eastAsia="仿宋_GB2312"/>
          <w:sz w:val="32"/>
          <w:szCs w:val="30"/>
          <w:highlight w:val="none"/>
          <w:lang w:val="en-US" w:eastAsia="zh-CN"/>
        </w:rPr>
        <w:t>5</w:t>
      </w:r>
      <w:r>
        <w:rPr>
          <w:rFonts w:hint="eastAsia" w:ascii="Times New Roman" w:hAnsi="Times New Roman" w:eastAsia="仿宋_GB2312"/>
          <w:sz w:val="32"/>
          <w:szCs w:val="30"/>
          <w:highlight w:val="none"/>
        </w:rPr>
        <w:t>年度一般公共预算财政拨款支出年初预算为</w:t>
      </w:r>
      <w:r>
        <w:rPr>
          <w:rFonts w:hint="eastAsia" w:ascii="Times New Roman" w:hAnsi="Times New Roman" w:eastAsia="仿宋_GB2312"/>
          <w:sz w:val="32"/>
          <w:szCs w:val="30"/>
          <w:highlight w:val="none"/>
          <w:lang w:val="en-US" w:eastAsia="zh-CN"/>
        </w:rPr>
        <w:t>1392.61</w:t>
      </w:r>
      <w:r>
        <w:rPr>
          <w:rFonts w:hint="eastAsia" w:ascii="Times New Roman" w:hAnsi="Times New Roman" w:eastAsia="仿宋_GB2312"/>
          <w:sz w:val="32"/>
          <w:szCs w:val="30"/>
          <w:highlight w:val="none"/>
        </w:rPr>
        <w:t>万元，支出决算为</w:t>
      </w:r>
      <w:r>
        <w:rPr>
          <w:rFonts w:hint="eastAsia" w:ascii="Times New Roman" w:hAnsi="Times New Roman" w:eastAsia="仿宋_GB2312"/>
          <w:sz w:val="32"/>
          <w:szCs w:val="30"/>
          <w:highlight w:val="none"/>
          <w:lang w:val="en-US" w:eastAsia="zh-CN"/>
        </w:rPr>
        <w:t>1267.77</w:t>
      </w:r>
      <w:r>
        <w:rPr>
          <w:rFonts w:hint="eastAsia" w:ascii="Times New Roman" w:hAnsi="Times New Roman" w:eastAsia="仿宋_GB2312"/>
          <w:sz w:val="32"/>
          <w:szCs w:val="30"/>
          <w:highlight w:val="none"/>
        </w:rPr>
        <w:t>万元，完成年初预算的</w:t>
      </w:r>
      <w:r>
        <w:rPr>
          <w:rFonts w:hint="eastAsia" w:ascii="Times New Roman" w:hAnsi="Times New Roman" w:eastAsia="仿宋_GB2312"/>
          <w:sz w:val="32"/>
          <w:szCs w:val="30"/>
          <w:highlight w:val="none"/>
          <w:lang w:val="en-US" w:eastAsia="zh-CN"/>
        </w:rPr>
        <w:t>91</w:t>
      </w:r>
      <w:r>
        <w:rPr>
          <w:rFonts w:hint="eastAsia" w:ascii="Times New Roman" w:hAnsi="Times New Roman" w:eastAsia="仿宋_GB2312"/>
          <w:sz w:val="32"/>
          <w:szCs w:val="30"/>
          <w:highlight w:val="none"/>
        </w:rPr>
        <w:t>%。其中：</w:t>
      </w:r>
    </w:p>
    <w:p w14:paraId="150797B0">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仿宋_GB2312"/>
          <w:sz w:val="32"/>
          <w:highlight w:val="none"/>
        </w:rPr>
        <w:t>1.</w:t>
      </w:r>
      <w:r>
        <w:rPr>
          <w:rFonts w:hint="eastAsia" w:ascii="Times New Roman" w:hAnsi="Times New Roman" w:eastAsia="仿宋_GB2312"/>
          <w:sz w:val="32"/>
          <w:szCs w:val="30"/>
          <w:highlight w:val="none"/>
        </w:rPr>
        <w:t>一般公共服务（类）财政事务（款）行政运行（项）。年初预算为</w:t>
      </w:r>
      <w:r>
        <w:rPr>
          <w:rFonts w:hint="eastAsia" w:ascii="Times New Roman" w:hAnsi="Times New Roman" w:eastAsia="仿宋_GB2312"/>
          <w:sz w:val="32"/>
          <w:szCs w:val="30"/>
          <w:highlight w:val="none"/>
          <w:lang w:val="en-US" w:eastAsia="zh-CN"/>
        </w:rPr>
        <w:t>607.67</w:t>
      </w:r>
      <w:r>
        <w:rPr>
          <w:rFonts w:hint="eastAsia" w:ascii="Times New Roman" w:hAnsi="Times New Roman" w:eastAsia="仿宋_GB2312"/>
          <w:sz w:val="32"/>
          <w:szCs w:val="30"/>
          <w:highlight w:val="none"/>
        </w:rPr>
        <w:t>万元，支出决算为</w:t>
      </w:r>
      <w:r>
        <w:rPr>
          <w:rFonts w:hint="eastAsia" w:ascii="Times New Roman" w:hAnsi="Times New Roman" w:eastAsia="仿宋_GB2312"/>
          <w:sz w:val="32"/>
          <w:szCs w:val="30"/>
          <w:highlight w:val="none"/>
          <w:lang w:val="en-US" w:eastAsia="zh-CN"/>
        </w:rPr>
        <w:t>754.78</w:t>
      </w:r>
      <w:r>
        <w:rPr>
          <w:rFonts w:hint="eastAsia" w:ascii="Times New Roman" w:hAnsi="Times New Roman" w:eastAsia="仿宋_GB2312"/>
          <w:sz w:val="32"/>
          <w:szCs w:val="30"/>
          <w:highlight w:val="none"/>
        </w:rPr>
        <w:t>万元，完成年初预算的</w:t>
      </w:r>
      <w:r>
        <w:rPr>
          <w:rFonts w:hint="eastAsia" w:ascii="Times New Roman" w:hAnsi="Times New Roman" w:eastAsia="仿宋_GB2312"/>
          <w:sz w:val="32"/>
          <w:szCs w:val="30"/>
          <w:highlight w:val="none"/>
          <w:lang w:val="en-US" w:eastAsia="zh-CN"/>
        </w:rPr>
        <w:t>124.2</w:t>
      </w:r>
      <w:r>
        <w:rPr>
          <w:rFonts w:hint="eastAsia" w:ascii="Times New Roman" w:hAnsi="Times New Roman" w:eastAsia="仿宋_GB2312"/>
          <w:sz w:val="32"/>
          <w:szCs w:val="30"/>
          <w:highlight w:val="none"/>
        </w:rPr>
        <w:t>%。</w:t>
      </w:r>
      <w:bookmarkStart w:id="0" w:name="OLE_LINK1"/>
      <w:r>
        <w:rPr>
          <w:rFonts w:hint="eastAsia" w:ascii="Times New Roman" w:hAnsi="Times New Roman" w:eastAsia="仿宋_GB2312"/>
          <w:sz w:val="32"/>
          <w:szCs w:val="30"/>
          <w:highlight w:val="none"/>
        </w:rPr>
        <w:t>决算数大于预算数</w:t>
      </w:r>
      <w:bookmarkEnd w:id="0"/>
      <w:r>
        <w:rPr>
          <w:rFonts w:hint="eastAsia" w:ascii="Times New Roman" w:hAnsi="Times New Roman" w:eastAsia="仿宋_GB2312"/>
          <w:sz w:val="32"/>
          <w:szCs w:val="30"/>
          <w:highlight w:val="none"/>
        </w:rPr>
        <w:t>的主要原因是</w:t>
      </w:r>
      <w:r>
        <w:rPr>
          <w:rFonts w:hint="eastAsia" w:ascii="Times New Roman" w:hAnsi="Times New Roman" w:eastAsia="仿宋_GB2312"/>
          <w:sz w:val="32"/>
          <w:szCs w:val="30"/>
          <w:highlight w:val="none"/>
          <w:lang w:val="en-US" w:eastAsia="zh-CN"/>
        </w:rPr>
        <w:t>本年人员增加，所以决算数大于预算数</w:t>
      </w:r>
      <w:r>
        <w:rPr>
          <w:rFonts w:hint="eastAsia" w:ascii="Times New Roman" w:hAnsi="Times New Roman" w:eastAsia="仿宋_GB2312"/>
          <w:sz w:val="32"/>
          <w:szCs w:val="30"/>
          <w:highlight w:val="none"/>
        </w:rPr>
        <w:t>。</w:t>
      </w:r>
    </w:p>
    <w:p w14:paraId="1D5BDEF7">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仿宋_GB2312"/>
          <w:sz w:val="32"/>
          <w:szCs w:val="30"/>
          <w:highlight w:val="none"/>
          <w:lang w:val="en-US" w:eastAsia="zh-CN"/>
        </w:rPr>
      </w:pPr>
      <w:r>
        <w:rPr>
          <w:rFonts w:hint="eastAsia" w:ascii="Times New Roman" w:hAnsi="Times New Roman" w:eastAsia="仿宋_GB2312"/>
          <w:sz w:val="32"/>
          <w:highlight w:val="none"/>
        </w:rPr>
        <w:t>2.</w:t>
      </w:r>
      <w:r>
        <w:rPr>
          <w:rFonts w:hint="eastAsia" w:ascii="Times New Roman" w:hAnsi="Times New Roman" w:eastAsia="仿宋_GB2312"/>
          <w:sz w:val="32"/>
          <w:szCs w:val="30"/>
          <w:highlight w:val="none"/>
        </w:rPr>
        <w:t xml:space="preserve"> </w:t>
      </w:r>
      <w:r>
        <w:rPr>
          <w:rFonts w:hint="eastAsia" w:ascii="宋体" w:hAnsi="宋体" w:eastAsia="仿宋_GB2312"/>
          <w:sz w:val="32"/>
          <w:szCs w:val="30"/>
          <w:highlight w:val="none"/>
        </w:rPr>
        <w:t xml:space="preserve"> </w:t>
      </w:r>
      <w:r>
        <w:rPr>
          <w:rFonts w:hint="eastAsia" w:ascii="宋体" w:hAnsi="宋体" w:eastAsia="仿宋_GB2312"/>
          <w:sz w:val="32"/>
          <w:szCs w:val="30"/>
          <w:highlight w:val="none"/>
          <w:lang w:eastAsia="zh-CN"/>
        </w:rPr>
        <w:t>一般公共服务</w:t>
      </w:r>
      <w:r>
        <w:rPr>
          <w:rFonts w:hint="eastAsia" w:ascii="宋体" w:hAnsi="宋体" w:eastAsia="仿宋_GB2312"/>
          <w:sz w:val="32"/>
          <w:szCs w:val="30"/>
          <w:highlight w:val="none"/>
        </w:rPr>
        <w:t>（类）</w:t>
      </w:r>
      <w:r>
        <w:rPr>
          <w:rFonts w:hint="eastAsia" w:ascii="宋体" w:hAnsi="宋体" w:eastAsia="仿宋_GB2312"/>
          <w:sz w:val="32"/>
          <w:szCs w:val="30"/>
          <w:highlight w:val="none"/>
          <w:lang w:eastAsia="zh-CN"/>
        </w:rPr>
        <w:t>财政事务</w:t>
      </w:r>
      <w:r>
        <w:rPr>
          <w:rFonts w:hint="eastAsia" w:ascii="宋体" w:hAnsi="宋体" w:eastAsia="仿宋_GB2312"/>
          <w:sz w:val="32"/>
          <w:szCs w:val="30"/>
          <w:highlight w:val="none"/>
        </w:rPr>
        <w:t>（款）</w:t>
      </w:r>
      <w:r>
        <w:rPr>
          <w:rFonts w:hint="eastAsia" w:ascii="宋体" w:hAnsi="宋体" w:eastAsia="仿宋_GB2312"/>
          <w:sz w:val="32"/>
          <w:szCs w:val="30"/>
          <w:highlight w:val="none"/>
          <w:lang w:eastAsia="zh-CN"/>
        </w:rPr>
        <w:t>一般管理事务</w:t>
      </w:r>
      <w:r>
        <w:rPr>
          <w:rFonts w:hint="eastAsia" w:ascii="宋体" w:hAnsi="宋体" w:eastAsia="仿宋_GB2312"/>
          <w:sz w:val="32"/>
          <w:szCs w:val="30"/>
          <w:highlight w:val="none"/>
        </w:rPr>
        <w:t>（项）。</w:t>
      </w:r>
      <w:r>
        <w:rPr>
          <w:rFonts w:hint="eastAsia" w:ascii="Times New Roman" w:hAnsi="Times New Roman" w:eastAsia="仿宋_GB2312"/>
          <w:sz w:val="32"/>
          <w:szCs w:val="30"/>
          <w:highlight w:val="none"/>
        </w:rPr>
        <w:t>年初预算为</w:t>
      </w:r>
      <w:r>
        <w:rPr>
          <w:rFonts w:hint="eastAsia" w:ascii="Times New Roman" w:hAnsi="Times New Roman" w:eastAsia="仿宋_GB2312"/>
          <w:sz w:val="32"/>
          <w:szCs w:val="30"/>
          <w:highlight w:val="none"/>
          <w:lang w:val="en-US" w:eastAsia="zh-CN"/>
        </w:rPr>
        <w:t>784.94</w:t>
      </w:r>
      <w:r>
        <w:rPr>
          <w:rFonts w:hint="eastAsia" w:ascii="Times New Roman" w:hAnsi="Times New Roman" w:eastAsia="仿宋_GB2312"/>
          <w:sz w:val="32"/>
          <w:szCs w:val="30"/>
          <w:highlight w:val="none"/>
        </w:rPr>
        <w:t>万元，支出决算为</w:t>
      </w:r>
      <w:r>
        <w:rPr>
          <w:rFonts w:hint="eastAsia" w:ascii="Times New Roman" w:hAnsi="Times New Roman" w:eastAsia="仿宋_GB2312"/>
          <w:sz w:val="32"/>
          <w:szCs w:val="30"/>
          <w:highlight w:val="none"/>
          <w:lang w:val="en-US" w:eastAsia="zh-CN"/>
        </w:rPr>
        <w:t>512.99</w:t>
      </w:r>
      <w:r>
        <w:rPr>
          <w:rFonts w:hint="eastAsia" w:ascii="Times New Roman" w:hAnsi="Times New Roman" w:eastAsia="仿宋_GB2312"/>
          <w:sz w:val="32"/>
          <w:szCs w:val="30"/>
          <w:highlight w:val="none"/>
        </w:rPr>
        <w:t>万元，完成年初预算的</w:t>
      </w:r>
      <w:r>
        <w:rPr>
          <w:rFonts w:hint="eastAsia" w:ascii="Times New Roman" w:hAnsi="Times New Roman" w:eastAsia="仿宋_GB2312"/>
          <w:sz w:val="32"/>
          <w:szCs w:val="30"/>
          <w:highlight w:val="none"/>
          <w:lang w:val="en-US" w:eastAsia="zh-CN"/>
        </w:rPr>
        <w:t>65.4</w:t>
      </w:r>
      <w:r>
        <w:rPr>
          <w:rFonts w:hint="eastAsia" w:ascii="Times New Roman" w:hAnsi="Times New Roman" w:eastAsia="仿宋_GB2312"/>
          <w:sz w:val="32"/>
          <w:szCs w:val="30"/>
          <w:highlight w:val="none"/>
        </w:rPr>
        <w:t>%。</w:t>
      </w:r>
      <w:bookmarkStart w:id="1" w:name="OLE_LINK2"/>
      <w:r>
        <w:rPr>
          <w:rFonts w:hint="eastAsia" w:ascii="Times New Roman" w:hAnsi="Times New Roman" w:eastAsia="仿宋_GB2312"/>
          <w:sz w:val="32"/>
          <w:szCs w:val="30"/>
          <w:highlight w:val="none"/>
        </w:rPr>
        <w:t>决算数小于预算数的</w:t>
      </w:r>
      <w:bookmarkEnd w:id="1"/>
      <w:r>
        <w:rPr>
          <w:rFonts w:hint="eastAsia" w:ascii="Times New Roman" w:hAnsi="Times New Roman" w:eastAsia="仿宋_GB2312"/>
          <w:sz w:val="32"/>
          <w:szCs w:val="30"/>
          <w:highlight w:val="none"/>
        </w:rPr>
        <w:t>主要原因是</w:t>
      </w:r>
      <w:r>
        <w:rPr>
          <w:rFonts w:hint="eastAsia" w:ascii="Times New Roman" w:hAnsi="Times New Roman" w:eastAsia="仿宋_GB2312"/>
          <w:sz w:val="32"/>
          <w:szCs w:val="30"/>
          <w:highlight w:val="none"/>
          <w:lang w:val="en-US" w:eastAsia="zh-CN"/>
        </w:rPr>
        <w:t>个别</w:t>
      </w:r>
      <w:r>
        <w:rPr>
          <w:rFonts w:hint="eastAsia" w:ascii="Times New Roman" w:hAnsi="Times New Roman" w:eastAsia="仿宋_GB2312"/>
          <w:sz w:val="32"/>
          <w:szCs w:val="30"/>
          <w:highlight w:val="none"/>
        </w:rPr>
        <w:t>项目本年未完成</w:t>
      </w:r>
      <w:r>
        <w:rPr>
          <w:rFonts w:hint="eastAsia" w:ascii="Times New Roman" w:hAnsi="Times New Roman" w:eastAsia="仿宋_GB2312"/>
          <w:sz w:val="32"/>
          <w:szCs w:val="30"/>
          <w:highlight w:val="none"/>
          <w:lang w:eastAsia="zh-CN"/>
        </w:rPr>
        <w:t>。</w:t>
      </w:r>
    </w:p>
    <w:p w14:paraId="1DF58011">
      <w:pPr>
        <w:keepNext w:val="0"/>
        <w:keepLines w:val="0"/>
        <w:pageBreakBefore w:val="0"/>
        <w:widowControl w:val="0"/>
        <w:kinsoku/>
        <w:wordWrap/>
        <w:overflowPunct/>
        <w:topLinePunct w:val="0"/>
        <w:bidi w:val="0"/>
        <w:spacing w:line="560" w:lineRule="exact"/>
        <w:ind w:right="0" w:rightChars="0"/>
        <w:textAlignment w:val="auto"/>
        <w:outlineLvl w:val="9"/>
        <w:rPr>
          <w:rFonts w:hint="eastAsia" w:ascii="Times New Roman" w:hAnsi="Times New Roman" w:eastAsia="黑体"/>
          <w:sz w:val="32"/>
          <w:highlight w:val="none"/>
        </w:rPr>
      </w:pPr>
    </w:p>
    <w:p w14:paraId="56797668">
      <w:pPr>
        <w:keepNext w:val="0"/>
        <w:keepLines w:val="0"/>
        <w:pageBreakBefore w:val="0"/>
        <w:widowControl w:val="0"/>
        <w:kinsoku/>
        <w:wordWrap/>
        <w:overflowPunct/>
        <w:topLinePunct w:val="0"/>
        <w:bidi w:val="0"/>
        <w:spacing w:line="560" w:lineRule="exact"/>
        <w:ind w:right="0" w:rightChars="0"/>
        <w:textAlignment w:val="auto"/>
        <w:outlineLvl w:val="9"/>
        <w:rPr>
          <w:rFonts w:hint="eastAsia" w:ascii="Times New Roman" w:hAnsi="Times New Roman" w:eastAsia="黑体"/>
          <w:sz w:val="32"/>
          <w:highlight w:val="none"/>
        </w:rPr>
      </w:pPr>
      <w:r>
        <w:rPr>
          <w:rFonts w:hint="eastAsia" w:ascii="Times New Roman" w:hAnsi="Times New Roman" w:eastAsia="黑体"/>
          <w:sz w:val="32"/>
          <w:highlight w:val="none"/>
        </w:rPr>
        <w:t xml:space="preserve">    六、</w:t>
      </w:r>
      <w:r>
        <w:rPr>
          <w:rFonts w:hint="eastAsia" w:ascii="Times New Roman" w:hAnsi="Times New Roman" w:eastAsia="黑体"/>
          <w:sz w:val="32"/>
          <w:szCs w:val="30"/>
          <w:highlight w:val="none"/>
        </w:rPr>
        <w:t>一般公共预算财政拨款基本支出决算情况说明</w:t>
      </w:r>
    </w:p>
    <w:p w14:paraId="27B33692">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仿宋_GB2312"/>
          <w:sz w:val="32"/>
          <w:szCs w:val="30"/>
          <w:highlight w:val="none"/>
        </w:rPr>
      </w:pPr>
      <w:r>
        <w:rPr>
          <w:rFonts w:hint="eastAsia" w:ascii="Times New Roman" w:hAnsi="Times New Roman" w:eastAsia="仿宋_GB2312"/>
          <w:sz w:val="32"/>
          <w:szCs w:val="30"/>
          <w:highlight w:val="none"/>
        </w:rPr>
        <w:t>202</w:t>
      </w:r>
      <w:r>
        <w:rPr>
          <w:rFonts w:hint="eastAsia" w:ascii="Times New Roman" w:hAnsi="Times New Roman" w:eastAsia="仿宋_GB2312"/>
          <w:sz w:val="32"/>
          <w:szCs w:val="30"/>
          <w:highlight w:val="none"/>
          <w:lang w:val="en-US" w:eastAsia="zh-CN"/>
        </w:rPr>
        <w:t>5</w:t>
      </w:r>
      <w:r>
        <w:rPr>
          <w:rFonts w:hint="eastAsia" w:ascii="Times New Roman" w:hAnsi="Times New Roman" w:eastAsia="仿宋_GB2312"/>
          <w:sz w:val="32"/>
          <w:szCs w:val="30"/>
          <w:highlight w:val="none"/>
        </w:rPr>
        <w:t>年度一般公共预算财政拨款基本支出</w:t>
      </w:r>
      <w:r>
        <w:rPr>
          <w:rFonts w:hint="eastAsia" w:ascii="Times New Roman" w:hAnsi="Times New Roman" w:eastAsia="仿宋_GB2312"/>
          <w:sz w:val="32"/>
          <w:szCs w:val="30"/>
          <w:highlight w:val="none"/>
          <w:lang w:val="en-US" w:eastAsia="zh-CN"/>
        </w:rPr>
        <w:t>754.78</w:t>
      </w:r>
      <w:r>
        <w:rPr>
          <w:rFonts w:hint="eastAsia" w:ascii="Times New Roman" w:hAnsi="Times New Roman" w:eastAsia="仿宋_GB2312"/>
          <w:sz w:val="32"/>
          <w:szCs w:val="30"/>
          <w:highlight w:val="none"/>
        </w:rPr>
        <w:t>万元，其中：</w:t>
      </w:r>
    </w:p>
    <w:p w14:paraId="50C3F3B3">
      <w:pPr>
        <w:keepNext w:val="0"/>
        <w:keepLines w:val="0"/>
        <w:pageBreakBefore w:val="0"/>
        <w:widowControl w:val="0"/>
        <w:kinsoku/>
        <w:wordWrap/>
        <w:overflowPunct/>
        <w:topLinePunct w:val="0"/>
        <w:bidi w:val="0"/>
        <w:spacing w:line="560" w:lineRule="exact"/>
        <w:ind w:right="0" w:rightChars="0" w:firstLine="643" w:firstLineChars="200"/>
        <w:textAlignment w:val="auto"/>
        <w:outlineLvl w:val="9"/>
        <w:rPr>
          <w:rFonts w:hint="eastAsia" w:ascii="Times New Roman" w:hAnsi="Times New Roman" w:eastAsia="仿宋_GB2312"/>
          <w:sz w:val="32"/>
          <w:szCs w:val="30"/>
          <w:highlight w:val="none"/>
        </w:rPr>
      </w:pPr>
      <w:r>
        <w:rPr>
          <w:rFonts w:hint="eastAsia" w:ascii="Times New Roman" w:hAnsi="Times New Roman" w:eastAsia="仿宋_GB2312"/>
          <w:b/>
          <w:sz w:val="32"/>
          <w:szCs w:val="30"/>
          <w:highlight w:val="none"/>
        </w:rPr>
        <w:t>人员经费</w:t>
      </w:r>
      <w:r>
        <w:rPr>
          <w:rFonts w:hint="eastAsia" w:ascii="Times New Roman" w:hAnsi="Times New Roman" w:eastAsia="仿宋_GB2312"/>
          <w:sz w:val="32"/>
          <w:szCs w:val="30"/>
          <w:highlight w:val="none"/>
          <w:lang w:val="en-US" w:eastAsia="zh-CN"/>
        </w:rPr>
        <w:t>710.92</w:t>
      </w:r>
      <w:r>
        <w:rPr>
          <w:rFonts w:hint="eastAsia" w:ascii="Times New Roman" w:hAnsi="Times New Roman" w:eastAsia="仿宋_GB2312"/>
          <w:b/>
          <w:sz w:val="32"/>
          <w:szCs w:val="30"/>
          <w:highlight w:val="none"/>
        </w:rPr>
        <w:t>万元</w:t>
      </w:r>
      <w:r>
        <w:rPr>
          <w:rFonts w:hint="eastAsia" w:ascii="Times New Roman" w:hAnsi="Times New Roman" w:eastAsia="仿宋_GB2312"/>
          <w:sz w:val="32"/>
          <w:szCs w:val="30"/>
          <w:highlight w:val="none"/>
          <w:lang w:eastAsia="zh-CN"/>
        </w:rPr>
        <w:t>。</w:t>
      </w:r>
      <w:r>
        <w:rPr>
          <w:rFonts w:hint="eastAsia" w:ascii="Times New Roman" w:hAnsi="Times New Roman" w:eastAsia="仿宋_GB2312"/>
          <w:sz w:val="32"/>
          <w:szCs w:val="30"/>
          <w:highlight w:val="none"/>
        </w:rPr>
        <w:t>主要包括：基本工资、津贴补贴、奖金、伙食补助费、绩效工资、机关事业单位基本养老保险缴费、职业年金缴费、职工基本医疗保险缴费、公务员医疗补助缴费、其他社会保障缴费、住房公积金、退休费、生活补助、奖励金</w:t>
      </w:r>
      <w:r>
        <w:rPr>
          <w:rFonts w:hint="eastAsia" w:ascii="Times New Roman" w:hAnsi="Times New Roman" w:eastAsia="仿宋_GB2312"/>
          <w:sz w:val="32"/>
          <w:szCs w:val="30"/>
          <w:highlight w:val="none"/>
          <w:lang w:val="en-US" w:eastAsia="zh-CN"/>
        </w:rPr>
        <w:t>等</w:t>
      </w:r>
      <w:r>
        <w:rPr>
          <w:rFonts w:hint="eastAsia" w:ascii="Times New Roman" w:hAnsi="Times New Roman" w:eastAsia="仿宋_GB2312"/>
          <w:sz w:val="32"/>
          <w:szCs w:val="30"/>
          <w:highlight w:val="none"/>
        </w:rPr>
        <w:t>。</w:t>
      </w:r>
    </w:p>
    <w:p w14:paraId="20FD1934">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仿宋_GB2312"/>
          <w:sz w:val="32"/>
          <w:highlight w:val="none"/>
          <w:lang w:eastAsia="zh-CN"/>
        </w:rPr>
      </w:pPr>
      <w:r>
        <w:rPr>
          <w:rFonts w:hint="eastAsia" w:ascii="Times New Roman" w:hAnsi="Times New Roman" w:eastAsia="仿宋_GB2312"/>
          <w:color w:val="FF0000"/>
          <w:sz w:val="32"/>
          <w:szCs w:val="30"/>
          <w:highlight w:val="none"/>
          <w:lang w:val="en-US" w:eastAsia="zh-CN"/>
        </w:rPr>
        <w:t xml:space="preserve"> </w:t>
      </w:r>
      <w:r>
        <w:rPr>
          <w:rFonts w:hint="eastAsia" w:ascii="Times New Roman" w:hAnsi="Times New Roman" w:eastAsia="仿宋_GB2312"/>
          <w:b/>
          <w:sz w:val="32"/>
          <w:highlight w:val="none"/>
        </w:rPr>
        <w:t>公用经费</w:t>
      </w:r>
      <w:r>
        <w:rPr>
          <w:rFonts w:hint="eastAsia" w:ascii="Times New Roman" w:hAnsi="Times New Roman" w:eastAsia="仿宋_GB2312"/>
          <w:b/>
          <w:sz w:val="32"/>
          <w:highlight w:val="none"/>
          <w:lang w:val="en-US" w:eastAsia="zh-CN"/>
        </w:rPr>
        <w:t>43.86</w:t>
      </w:r>
      <w:r>
        <w:rPr>
          <w:rFonts w:hint="eastAsia" w:ascii="Times New Roman" w:hAnsi="Times New Roman" w:eastAsia="仿宋_GB2312"/>
          <w:b/>
          <w:sz w:val="32"/>
          <w:highlight w:val="none"/>
        </w:rPr>
        <w:t>万元</w:t>
      </w:r>
      <w:r>
        <w:rPr>
          <w:rFonts w:hint="eastAsia" w:ascii="Times New Roman" w:hAnsi="Times New Roman" w:eastAsia="仿宋_GB2312"/>
          <w:sz w:val="32"/>
          <w:highlight w:val="none"/>
          <w:lang w:eastAsia="zh-CN"/>
        </w:rPr>
        <w:t>。</w:t>
      </w:r>
      <w:r>
        <w:rPr>
          <w:rFonts w:hint="eastAsia" w:ascii="Times New Roman" w:hAnsi="Times New Roman" w:eastAsia="仿宋_GB2312"/>
          <w:sz w:val="32"/>
          <w:highlight w:val="none"/>
        </w:rPr>
        <w:t>主要包括：办公费、邮电费、差旅费、维修（护）费、培训费、其他交通费用</w:t>
      </w:r>
      <w:r>
        <w:rPr>
          <w:rFonts w:hint="eastAsia" w:ascii="Times New Roman" w:hAnsi="Times New Roman" w:eastAsia="仿宋_GB2312"/>
          <w:sz w:val="32"/>
          <w:highlight w:val="none"/>
          <w:lang w:val="en-US" w:eastAsia="zh-CN"/>
        </w:rPr>
        <w:t>等</w:t>
      </w:r>
      <w:r>
        <w:rPr>
          <w:rFonts w:hint="eastAsia" w:ascii="Times New Roman" w:hAnsi="Times New Roman" w:eastAsia="仿宋_GB2312"/>
          <w:sz w:val="32"/>
          <w:highlight w:val="none"/>
          <w:lang w:eastAsia="zh-CN"/>
        </w:rPr>
        <w:t>。</w:t>
      </w:r>
    </w:p>
    <w:p w14:paraId="2091F5DE">
      <w:pPr>
        <w:keepNext w:val="0"/>
        <w:keepLines w:val="0"/>
        <w:pageBreakBefore w:val="0"/>
        <w:widowControl w:val="0"/>
        <w:kinsoku/>
        <w:wordWrap/>
        <w:overflowPunct/>
        <w:topLinePunct w:val="0"/>
        <w:bidi w:val="0"/>
        <w:spacing w:line="560" w:lineRule="exact"/>
        <w:ind w:right="0" w:rightChars="0" w:firstLine="480" w:firstLineChars="150"/>
        <w:textAlignment w:val="auto"/>
        <w:outlineLvl w:val="9"/>
        <w:rPr>
          <w:rFonts w:hint="eastAsia" w:ascii="Times New Roman" w:hAnsi="Times New Roman" w:eastAsia="黑体"/>
          <w:sz w:val="32"/>
          <w:szCs w:val="30"/>
          <w:highlight w:val="none"/>
        </w:rPr>
      </w:pPr>
      <w:r>
        <w:rPr>
          <w:rFonts w:hint="eastAsia" w:ascii="Times New Roman" w:hAnsi="Times New Roman" w:eastAsia="仿宋_GB2312"/>
          <w:color w:val="FF0000"/>
          <w:sz w:val="32"/>
          <w:szCs w:val="30"/>
          <w:highlight w:val="none"/>
          <w:lang w:val="en-US" w:eastAsia="zh-CN"/>
        </w:rPr>
        <w:t xml:space="preserve"> </w:t>
      </w:r>
      <w:r>
        <w:rPr>
          <w:rFonts w:hint="eastAsia" w:ascii="Times New Roman" w:hAnsi="Times New Roman" w:eastAsia="黑体"/>
          <w:sz w:val="32"/>
          <w:highlight w:val="none"/>
        </w:rPr>
        <w:t>七、政府性基金预算财政拨款收入支出决算情况说明</w:t>
      </w:r>
    </w:p>
    <w:p w14:paraId="51ECA629">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仿宋_GB2312"/>
          <w:sz w:val="32"/>
          <w:szCs w:val="30"/>
          <w:highlight w:val="none"/>
          <w:lang w:val="en-US" w:eastAsia="zh-CN"/>
        </w:rPr>
      </w:pPr>
      <w:r>
        <w:rPr>
          <w:rFonts w:hint="eastAsia" w:ascii="Times New Roman" w:hAnsi="Times New Roman" w:eastAsia="仿宋_GB2312"/>
          <w:sz w:val="32"/>
          <w:szCs w:val="30"/>
          <w:highlight w:val="none"/>
          <w:lang w:val="en-US" w:eastAsia="zh-CN"/>
        </w:rPr>
        <w:t>我单位不涉及此项。</w:t>
      </w:r>
    </w:p>
    <w:p w14:paraId="386C922E">
      <w:pPr>
        <w:keepNext w:val="0"/>
        <w:keepLines w:val="0"/>
        <w:pageBreakBefore w:val="0"/>
        <w:widowControl w:val="0"/>
        <w:kinsoku/>
        <w:wordWrap/>
        <w:overflowPunct/>
        <w:topLinePunct w:val="0"/>
        <w:bidi w:val="0"/>
        <w:spacing w:line="560" w:lineRule="exact"/>
        <w:ind w:right="0" w:rightChars="0" w:firstLine="720" w:firstLineChars="225"/>
        <w:textAlignment w:val="auto"/>
        <w:outlineLvl w:val="9"/>
        <w:rPr>
          <w:rFonts w:hint="eastAsia" w:ascii="Times New Roman" w:hAnsi="Times New Roman" w:eastAsia="黑体"/>
          <w:sz w:val="32"/>
          <w:highlight w:val="none"/>
        </w:rPr>
      </w:pPr>
      <w:r>
        <w:rPr>
          <w:rFonts w:hint="eastAsia" w:ascii="Times New Roman" w:hAnsi="Times New Roman" w:eastAsia="黑体"/>
          <w:sz w:val="32"/>
          <w:highlight w:val="none"/>
        </w:rPr>
        <w:t>八、国有资本经营预算财政拨款支出决算情况说明</w:t>
      </w:r>
    </w:p>
    <w:p w14:paraId="383B6594">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仿宋_GB2312"/>
          <w:sz w:val="32"/>
          <w:szCs w:val="30"/>
          <w:highlight w:val="none"/>
          <w:lang w:val="en-US" w:eastAsia="zh-CN"/>
        </w:rPr>
      </w:pPr>
      <w:r>
        <w:rPr>
          <w:rFonts w:hint="eastAsia" w:ascii="Times New Roman" w:hAnsi="Times New Roman" w:eastAsia="仿宋_GB2312"/>
          <w:sz w:val="32"/>
          <w:szCs w:val="30"/>
          <w:highlight w:val="none"/>
          <w:lang w:val="en-US" w:eastAsia="zh-CN"/>
        </w:rPr>
        <w:t>我单位不涉及此项。</w:t>
      </w:r>
    </w:p>
    <w:p w14:paraId="427C156A">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黑体"/>
          <w:sz w:val="32"/>
          <w:highlight w:val="none"/>
        </w:rPr>
      </w:pPr>
      <w:r>
        <w:rPr>
          <w:rFonts w:hint="eastAsia" w:ascii="Times New Roman" w:hAnsi="Times New Roman" w:eastAsia="黑体"/>
          <w:sz w:val="32"/>
          <w:highlight w:val="none"/>
        </w:rPr>
        <w:t>九、</w:t>
      </w:r>
      <w:r>
        <w:rPr>
          <w:rFonts w:hint="eastAsia" w:ascii="Times New Roman" w:hAnsi="Times New Roman" w:eastAsia="黑体"/>
          <w:sz w:val="32"/>
          <w:szCs w:val="30"/>
          <w:highlight w:val="none"/>
        </w:rPr>
        <w:t>财政拨款“三公”经费支出决算情况说明</w:t>
      </w:r>
    </w:p>
    <w:p w14:paraId="4CC78662">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仿宋_GB2312"/>
          <w:sz w:val="32"/>
          <w:szCs w:val="30"/>
          <w:highlight w:val="none"/>
          <w:lang w:val="en-US" w:eastAsia="zh-CN"/>
        </w:rPr>
      </w:pPr>
      <w:r>
        <w:rPr>
          <w:rFonts w:hint="eastAsia" w:ascii="Times New Roman" w:hAnsi="Times New Roman" w:eastAsia="仿宋_GB2312"/>
          <w:sz w:val="32"/>
          <w:szCs w:val="30"/>
          <w:highlight w:val="none"/>
          <w:lang w:val="en-US" w:eastAsia="zh-CN"/>
        </w:rPr>
        <w:t>我单位不涉及此项。</w:t>
      </w:r>
    </w:p>
    <w:p w14:paraId="6E07E3DE">
      <w:pPr>
        <w:keepNext w:val="0"/>
        <w:keepLines w:val="0"/>
        <w:pageBreakBefore w:val="0"/>
        <w:widowControl w:val="0"/>
        <w:kinsoku/>
        <w:wordWrap/>
        <w:overflowPunct/>
        <w:topLinePunct w:val="0"/>
        <w:bidi w:val="0"/>
        <w:spacing w:line="560" w:lineRule="exact"/>
        <w:ind w:right="0" w:rightChars="0" w:firstLine="720" w:firstLineChars="225"/>
        <w:textAlignment w:val="auto"/>
        <w:outlineLvl w:val="9"/>
        <w:rPr>
          <w:rFonts w:ascii="Times New Roman" w:hAnsi="Times New Roman" w:eastAsia="黑体"/>
          <w:sz w:val="32"/>
          <w:highlight w:val="none"/>
        </w:rPr>
      </w:pPr>
      <w:r>
        <w:rPr>
          <w:rFonts w:hint="eastAsia" w:ascii="Times New Roman" w:hAnsi="Times New Roman" w:eastAsia="黑体"/>
          <w:sz w:val="32"/>
          <w:highlight w:val="none"/>
        </w:rPr>
        <w:t>十、</w:t>
      </w:r>
      <w:r>
        <w:rPr>
          <w:rFonts w:hint="eastAsia" w:ascii="Times New Roman" w:hAnsi="Times New Roman" w:eastAsia="黑体" w:cs="仿宋_GB2312"/>
          <w:sz w:val="32"/>
          <w:szCs w:val="32"/>
          <w:highlight w:val="none"/>
        </w:rPr>
        <w:t>关于</w:t>
      </w:r>
      <w:r>
        <w:rPr>
          <w:rFonts w:ascii="Times New Roman" w:hAnsi="Times New Roman" w:eastAsia="黑体" w:cs="仿宋_GB2312"/>
          <w:sz w:val="32"/>
          <w:szCs w:val="32"/>
          <w:highlight w:val="none"/>
          <w:lang w:val="en"/>
        </w:rPr>
        <w:t>202</w:t>
      </w:r>
      <w:r>
        <w:rPr>
          <w:rFonts w:hint="eastAsia" w:ascii="Times New Roman" w:hAnsi="Times New Roman" w:eastAsia="黑体" w:cs="仿宋_GB2312"/>
          <w:sz w:val="32"/>
          <w:szCs w:val="32"/>
          <w:highlight w:val="none"/>
          <w:lang w:val="en-US" w:eastAsia="zh-CN"/>
        </w:rPr>
        <w:t>5</w:t>
      </w:r>
      <w:r>
        <w:rPr>
          <w:rFonts w:ascii="Times New Roman" w:hAnsi="Times New Roman" w:eastAsia="黑体" w:cs="仿宋_GB2312"/>
          <w:sz w:val="32"/>
          <w:szCs w:val="32"/>
          <w:highlight w:val="none"/>
          <w:lang w:val="en"/>
        </w:rPr>
        <w:t>年度</w:t>
      </w:r>
      <w:r>
        <w:rPr>
          <w:rFonts w:hint="eastAsia" w:ascii="Times New Roman" w:hAnsi="Times New Roman" w:eastAsia="黑体" w:cs="仿宋_GB2312"/>
          <w:sz w:val="32"/>
          <w:szCs w:val="32"/>
          <w:highlight w:val="none"/>
        </w:rPr>
        <w:t>绩效评价情况说明</w:t>
      </w:r>
    </w:p>
    <w:p w14:paraId="459C04B4">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仿宋_GB2312"/>
          <w:sz w:val="32"/>
          <w:szCs w:val="30"/>
          <w:highlight w:val="none"/>
        </w:rPr>
      </w:pPr>
      <w:r>
        <w:rPr>
          <w:rFonts w:hint="eastAsia" w:ascii="Times New Roman" w:hAnsi="Times New Roman" w:eastAsia="楷体_GB2312" w:cs="楷体_GB2312"/>
          <w:sz w:val="32"/>
          <w:szCs w:val="30"/>
          <w:highlight w:val="none"/>
        </w:rPr>
        <w:t>（一）绩效评价工作开展情况。</w:t>
      </w:r>
      <w:r>
        <w:rPr>
          <w:rFonts w:hint="eastAsia" w:ascii="Times New Roman" w:hAnsi="Times New Roman" w:eastAsia="仿宋_GB2312"/>
          <w:sz w:val="32"/>
          <w:szCs w:val="30"/>
          <w:highlight w:val="none"/>
        </w:rPr>
        <w:t>根据预算绩效管理要求，本部门组织对</w:t>
      </w:r>
      <w:r>
        <w:rPr>
          <w:rFonts w:ascii="Times New Roman" w:hAnsi="Times New Roman" w:eastAsia="仿宋_GB2312"/>
          <w:sz w:val="32"/>
          <w:szCs w:val="30"/>
          <w:highlight w:val="none"/>
        </w:rPr>
        <w:t>202</w:t>
      </w:r>
      <w:r>
        <w:rPr>
          <w:rFonts w:hint="eastAsia" w:ascii="Times New Roman" w:hAnsi="Times New Roman" w:eastAsia="仿宋_GB2312"/>
          <w:sz w:val="32"/>
          <w:szCs w:val="30"/>
          <w:highlight w:val="none"/>
          <w:lang w:val="en-US" w:eastAsia="zh-CN"/>
        </w:rPr>
        <w:t>5</w:t>
      </w:r>
      <w:r>
        <w:rPr>
          <w:rFonts w:ascii="Times New Roman" w:hAnsi="Times New Roman" w:eastAsia="仿宋_GB2312"/>
          <w:sz w:val="32"/>
          <w:szCs w:val="30"/>
          <w:highlight w:val="none"/>
        </w:rPr>
        <w:t>年度</w:t>
      </w:r>
      <w:r>
        <w:rPr>
          <w:rFonts w:hint="eastAsia" w:ascii="Times New Roman" w:hAnsi="Times New Roman" w:eastAsia="仿宋_GB2312"/>
          <w:sz w:val="32"/>
          <w:szCs w:val="30"/>
          <w:highlight w:val="none"/>
        </w:rPr>
        <w:t>一般公共预算项目全面开展绩效自评，其中，一级项目</w:t>
      </w:r>
      <w:r>
        <w:rPr>
          <w:rFonts w:hint="eastAsia" w:ascii="Times New Roman" w:hAnsi="Times New Roman" w:eastAsia="仿宋_GB2312"/>
          <w:sz w:val="32"/>
          <w:szCs w:val="30"/>
          <w:highlight w:val="none"/>
          <w:lang w:val="en-US" w:eastAsia="zh-CN"/>
        </w:rPr>
        <w:t>1</w:t>
      </w:r>
      <w:r>
        <w:rPr>
          <w:rFonts w:hint="eastAsia" w:ascii="Times New Roman" w:hAnsi="Times New Roman" w:eastAsia="仿宋_GB2312"/>
          <w:sz w:val="32"/>
          <w:szCs w:val="30"/>
          <w:highlight w:val="none"/>
        </w:rPr>
        <w:t>个，二级项目</w:t>
      </w:r>
      <w:r>
        <w:rPr>
          <w:rFonts w:hint="eastAsia" w:ascii="Times New Roman" w:hAnsi="Times New Roman" w:eastAsia="仿宋_GB2312"/>
          <w:sz w:val="32"/>
          <w:szCs w:val="30"/>
          <w:highlight w:val="none"/>
          <w:lang w:val="en-US" w:eastAsia="zh-CN"/>
        </w:rPr>
        <w:t>1</w:t>
      </w:r>
      <w:r>
        <w:rPr>
          <w:rFonts w:hint="eastAsia" w:ascii="Times New Roman" w:hAnsi="Times New Roman" w:eastAsia="仿宋_GB2312"/>
          <w:sz w:val="32"/>
          <w:szCs w:val="30"/>
          <w:highlight w:val="none"/>
        </w:rPr>
        <w:t xml:space="preserve"> 个，共涉及资金</w:t>
      </w:r>
      <w:r>
        <w:rPr>
          <w:rFonts w:hint="eastAsia" w:ascii="Times New Roman" w:hAnsi="Times New Roman" w:eastAsia="仿宋_GB2312"/>
          <w:sz w:val="32"/>
          <w:szCs w:val="30"/>
          <w:highlight w:val="none"/>
          <w:lang w:val="en-US" w:eastAsia="zh-CN"/>
        </w:rPr>
        <w:t>64.2</w:t>
      </w:r>
      <w:r>
        <w:rPr>
          <w:rFonts w:hint="eastAsia" w:ascii="Times New Roman" w:hAnsi="Times New Roman" w:eastAsia="仿宋_GB2312"/>
          <w:sz w:val="32"/>
          <w:szCs w:val="30"/>
          <w:highlight w:val="none"/>
        </w:rPr>
        <w:t>万元，占一般公共预算项目支出总额的</w:t>
      </w:r>
      <w:r>
        <w:rPr>
          <w:rFonts w:hint="eastAsia" w:ascii="Times New Roman" w:hAnsi="Times New Roman" w:eastAsia="仿宋_GB2312"/>
          <w:sz w:val="32"/>
          <w:szCs w:val="30"/>
          <w:highlight w:val="none"/>
          <w:lang w:val="en-US" w:eastAsia="zh-CN"/>
        </w:rPr>
        <w:t>12.5</w:t>
      </w:r>
      <w:r>
        <w:rPr>
          <w:rFonts w:hint="eastAsia" w:ascii="Times New Roman" w:hAnsi="Times New Roman" w:eastAsia="仿宋_GB2312"/>
          <w:sz w:val="32"/>
          <w:szCs w:val="30"/>
          <w:highlight w:val="none"/>
        </w:rPr>
        <w:t>%。从评价情况来看，</w:t>
      </w:r>
      <w:r>
        <w:rPr>
          <w:rFonts w:hint="eastAsia" w:ascii="Times New Roman" w:hAnsi="Times New Roman" w:eastAsia="仿宋_GB2312"/>
          <w:sz w:val="32"/>
          <w:szCs w:val="30"/>
          <w:highlight w:val="none"/>
          <w:lang w:val="en-US" w:eastAsia="zh-CN"/>
        </w:rPr>
        <w:t>该项目执行情况较好，顺利完成年初既定目标。</w:t>
      </w:r>
      <w:r>
        <w:rPr>
          <w:rFonts w:hint="eastAsia" w:ascii="Times New Roman" w:hAnsi="Times New Roman" w:eastAsia="仿宋_GB2312"/>
          <w:sz w:val="32"/>
          <w:szCs w:val="30"/>
          <w:highlight w:val="none"/>
        </w:rPr>
        <w:t xml:space="preserve">  </w:t>
      </w:r>
    </w:p>
    <w:p w14:paraId="1863AC6A">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黑体"/>
          <w:sz w:val="32"/>
          <w:highlight w:val="none"/>
        </w:rPr>
      </w:pPr>
      <w:r>
        <w:rPr>
          <w:rFonts w:hint="eastAsia" w:ascii="Times New Roman" w:hAnsi="Times New Roman" w:eastAsia="仿宋_GB2312"/>
          <w:color w:val="FF0000"/>
          <w:sz w:val="32"/>
          <w:szCs w:val="30"/>
          <w:highlight w:val="none"/>
          <w:lang w:val="en-US" w:eastAsia="zh-CN"/>
        </w:rPr>
        <w:t xml:space="preserve"> </w:t>
      </w:r>
      <w:r>
        <w:rPr>
          <w:rFonts w:hint="eastAsia" w:ascii="Times New Roman" w:hAnsi="Times New Roman" w:eastAsia="黑体"/>
          <w:sz w:val="32"/>
          <w:highlight w:val="none"/>
        </w:rPr>
        <w:t>十一、其他重要事项情况说明</w:t>
      </w:r>
    </w:p>
    <w:p w14:paraId="2054FFF8">
      <w:pPr>
        <w:spacing w:before="248" w:line="222" w:lineRule="auto"/>
        <w:ind w:left="659"/>
        <w:rPr>
          <w:rFonts w:ascii="Times New Roman" w:hAnsi="Times New Roman" w:eastAsia="仿宋_GB2312" w:cs="Times New Roman"/>
          <w:sz w:val="31"/>
          <w:szCs w:val="31"/>
        </w:rPr>
      </w:pPr>
      <w:r>
        <w:rPr>
          <w:rFonts w:ascii="Times New Roman" w:hAnsi="Times New Roman" w:eastAsia="仿宋_GB2312" w:cs="Times New Roman"/>
          <w:spacing w:val="4"/>
          <w:sz w:val="31"/>
          <w:szCs w:val="31"/>
        </w:rPr>
        <w:t>（</w:t>
      </w:r>
      <w:r>
        <w:rPr>
          <w:rFonts w:ascii="Times New Roman" w:hAnsi="Times New Roman" w:eastAsia="仿宋_GB2312" w:cs="Times New Roman"/>
          <w:spacing w:val="-73"/>
          <w:sz w:val="31"/>
          <w:szCs w:val="31"/>
        </w:rPr>
        <w:t xml:space="preserve"> </w:t>
      </w:r>
      <w:r>
        <w:rPr>
          <w:rFonts w:ascii="Times New Roman" w:hAnsi="Times New Roman" w:eastAsia="仿宋_GB2312" w:cs="Times New Roman"/>
          <w:spacing w:val="4"/>
          <w:sz w:val="31"/>
          <w:szCs w:val="31"/>
        </w:rPr>
        <w:t>一）机关运行经费执行情况说明</w:t>
      </w:r>
    </w:p>
    <w:p w14:paraId="4542457D">
      <w:pPr>
        <w:spacing w:before="251" w:line="357" w:lineRule="auto"/>
        <w:ind w:left="19" w:right="170" w:firstLine="652"/>
        <w:rPr>
          <w:rFonts w:ascii="Times New Roman" w:hAnsi="Times New Roman" w:eastAsia="仿宋_GB2312" w:cs="Times New Roman"/>
          <w:spacing w:val="-5"/>
          <w:sz w:val="31"/>
          <w:szCs w:val="31"/>
        </w:rPr>
      </w:pPr>
      <w:r>
        <w:rPr>
          <w:rFonts w:ascii="Times New Roman" w:hAnsi="Times New Roman" w:eastAsia="仿宋_GB2312" w:cs="Times New Roman"/>
          <w:spacing w:val="7"/>
          <w:sz w:val="31"/>
          <w:szCs w:val="31"/>
        </w:rPr>
        <w:t>202</w:t>
      </w:r>
      <w:r>
        <w:rPr>
          <w:rFonts w:hint="eastAsia" w:ascii="Times New Roman" w:hAnsi="Times New Roman" w:eastAsia="仿宋_GB2312" w:cs="Times New Roman"/>
          <w:spacing w:val="7"/>
          <w:sz w:val="31"/>
          <w:szCs w:val="31"/>
          <w:lang w:val="en-US" w:eastAsia="zh-CN"/>
        </w:rPr>
        <w:t>5</w:t>
      </w:r>
      <w:r>
        <w:rPr>
          <w:rFonts w:ascii="Times New Roman" w:hAnsi="Times New Roman" w:eastAsia="仿宋_GB2312" w:cs="Times New Roman"/>
          <w:spacing w:val="7"/>
          <w:sz w:val="31"/>
          <w:szCs w:val="31"/>
        </w:rPr>
        <w:t>年度机关运行经费支出</w:t>
      </w:r>
      <w:r>
        <w:rPr>
          <w:rFonts w:hint="eastAsia" w:ascii="Times New Roman" w:hAnsi="Times New Roman" w:eastAsia="仿宋_GB2312" w:cs="Times New Roman"/>
          <w:spacing w:val="7"/>
          <w:sz w:val="31"/>
          <w:szCs w:val="31"/>
          <w:lang w:val="en-US" w:eastAsia="zh-CN"/>
        </w:rPr>
        <w:t>43.86</w:t>
      </w:r>
      <w:r>
        <w:rPr>
          <w:rFonts w:ascii="Times New Roman" w:hAnsi="Times New Roman" w:eastAsia="仿宋_GB2312" w:cs="Times New Roman"/>
          <w:spacing w:val="7"/>
          <w:sz w:val="31"/>
          <w:szCs w:val="31"/>
        </w:rPr>
        <w:t>万元，较2022年度</w:t>
      </w:r>
      <w:r>
        <w:rPr>
          <w:rFonts w:hint="eastAsia" w:ascii="Times New Roman" w:hAnsi="Times New Roman" w:eastAsia="仿宋_GB2312" w:cs="Times New Roman"/>
          <w:spacing w:val="7"/>
          <w:sz w:val="31"/>
          <w:szCs w:val="31"/>
          <w:lang w:val="en-US" w:eastAsia="zh-CN"/>
        </w:rPr>
        <w:t>减少0.43</w:t>
      </w:r>
      <w:r>
        <w:rPr>
          <w:rFonts w:ascii="Times New Roman" w:hAnsi="Times New Roman" w:eastAsia="仿宋_GB2312" w:cs="Times New Roman"/>
          <w:spacing w:val="-4"/>
          <w:sz w:val="31"/>
          <w:szCs w:val="31"/>
        </w:rPr>
        <w:t>万元，</w:t>
      </w:r>
      <w:r>
        <w:rPr>
          <w:rFonts w:hint="eastAsia" w:ascii="Times New Roman" w:hAnsi="Times New Roman" w:eastAsia="仿宋_GB2312" w:cs="Times New Roman"/>
          <w:spacing w:val="-4"/>
          <w:sz w:val="31"/>
          <w:szCs w:val="31"/>
          <w:lang w:val="en-US" w:eastAsia="zh-CN"/>
        </w:rPr>
        <w:t>降低</w:t>
      </w:r>
      <w:r>
        <w:rPr>
          <w:rFonts w:hint="eastAsia" w:ascii="Times New Roman" w:hAnsi="Times New Roman" w:eastAsia="仿宋_GB2312" w:cs="Times New Roman"/>
          <w:spacing w:val="-4"/>
          <w:sz w:val="31"/>
          <w:szCs w:val="31"/>
          <w:lang w:eastAsia="zh-CN"/>
        </w:rPr>
        <w:t>1</w:t>
      </w:r>
      <w:r>
        <w:rPr>
          <w:rFonts w:ascii="Times New Roman" w:hAnsi="Times New Roman" w:eastAsia="仿宋_GB2312" w:cs="Times New Roman"/>
          <w:spacing w:val="-4"/>
          <w:sz w:val="31"/>
          <w:szCs w:val="31"/>
        </w:rPr>
        <w:t>%</w:t>
      </w:r>
      <w:r>
        <w:rPr>
          <w:rFonts w:ascii="Times New Roman" w:hAnsi="Times New Roman" w:eastAsia="仿宋_GB2312" w:cs="Times New Roman"/>
          <w:spacing w:val="-5"/>
          <w:sz w:val="31"/>
          <w:szCs w:val="31"/>
        </w:rPr>
        <w:t>。</w:t>
      </w:r>
    </w:p>
    <w:p w14:paraId="585B799C">
      <w:pPr>
        <w:spacing w:before="48" w:line="224" w:lineRule="auto"/>
        <w:ind w:left="659"/>
        <w:rPr>
          <w:rFonts w:ascii="Times New Roman" w:hAnsi="Times New Roman" w:eastAsia="仿宋_GB2312" w:cs="Times New Roman"/>
          <w:sz w:val="31"/>
          <w:szCs w:val="31"/>
        </w:rPr>
      </w:pPr>
      <w:r>
        <w:rPr>
          <w:rFonts w:ascii="Times New Roman" w:hAnsi="Times New Roman" w:eastAsia="仿宋_GB2312" w:cs="Times New Roman"/>
          <w:spacing w:val="9"/>
          <w:sz w:val="31"/>
          <w:szCs w:val="31"/>
        </w:rPr>
        <w:t>（二）政府采购支出情况说明</w:t>
      </w:r>
    </w:p>
    <w:p w14:paraId="375D4CB5">
      <w:pPr>
        <w:spacing w:before="249" w:line="368" w:lineRule="auto"/>
        <w:ind w:left="29" w:right="24" w:firstLine="641"/>
        <w:rPr>
          <w:rFonts w:ascii="Times New Roman" w:hAnsi="Times New Roman" w:eastAsia="仿宋_GB2312" w:cs="Times New Roman"/>
          <w:sz w:val="31"/>
          <w:szCs w:val="31"/>
          <w:highlight w:val="none"/>
        </w:rPr>
      </w:pPr>
      <w:r>
        <w:rPr>
          <w:rFonts w:ascii="Times New Roman" w:hAnsi="Times New Roman" w:eastAsia="仿宋_GB2312" w:cs="Times New Roman"/>
          <w:spacing w:val="8"/>
          <w:sz w:val="31"/>
          <w:szCs w:val="31"/>
          <w:highlight w:val="none"/>
        </w:rPr>
        <w:t>202</w:t>
      </w:r>
      <w:r>
        <w:rPr>
          <w:rFonts w:hint="eastAsia" w:ascii="Times New Roman" w:hAnsi="Times New Roman" w:eastAsia="仿宋_GB2312" w:cs="Times New Roman"/>
          <w:spacing w:val="8"/>
          <w:sz w:val="31"/>
          <w:szCs w:val="31"/>
          <w:highlight w:val="none"/>
          <w:lang w:val="en-US" w:eastAsia="zh-CN"/>
        </w:rPr>
        <w:t>5</w:t>
      </w:r>
      <w:r>
        <w:rPr>
          <w:rFonts w:ascii="Times New Roman" w:hAnsi="Times New Roman" w:eastAsia="仿宋_GB2312" w:cs="Times New Roman"/>
          <w:spacing w:val="8"/>
          <w:sz w:val="31"/>
          <w:szCs w:val="31"/>
          <w:highlight w:val="none"/>
        </w:rPr>
        <w:t>年度政府采购支出总额</w:t>
      </w:r>
      <w:r>
        <w:rPr>
          <w:rFonts w:hint="eastAsia" w:eastAsia="仿宋_GB2312" w:cs="Times New Roman"/>
          <w:spacing w:val="8"/>
          <w:sz w:val="31"/>
          <w:szCs w:val="31"/>
          <w:highlight w:val="none"/>
          <w:lang w:val="en-US" w:eastAsia="zh-CN"/>
        </w:rPr>
        <w:t>46.67</w:t>
      </w:r>
      <w:r>
        <w:rPr>
          <w:rFonts w:ascii="Times New Roman" w:hAnsi="Times New Roman" w:eastAsia="仿宋_GB2312" w:cs="Times New Roman"/>
          <w:spacing w:val="8"/>
          <w:sz w:val="31"/>
          <w:szCs w:val="31"/>
          <w:highlight w:val="none"/>
        </w:rPr>
        <w:t>万元，</w:t>
      </w:r>
      <w:r>
        <w:rPr>
          <w:rFonts w:ascii="Times New Roman" w:hAnsi="Times New Roman" w:eastAsia="仿宋_GB2312" w:cs="Times New Roman"/>
          <w:spacing w:val="7"/>
          <w:sz w:val="31"/>
          <w:szCs w:val="31"/>
          <w:highlight w:val="none"/>
        </w:rPr>
        <w:t>其中：政府采购货物支出</w:t>
      </w:r>
      <w:r>
        <w:rPr>
          <w:rFonts w:hint="eastAsia" w:eastAsia="仿宋_GB2312" w:cs="Times New Roman"/>
          <w:spacing w:val="7"/>
          <w:sz w:val="31"/>
          <w:szCs w:val="31"/>
          <w:highlight w:val="none"/>
          <w:lang w:val="en-US" w:eastAsia="zh-CN"/>
        </w:rPr>
        <w:t>9.87</w:t>
      </w:r>
      <w:r>
        <w:rPr>
          <w:rFonts w:ascii="Times New Roman" w:hAnsi="Times New Roman" w:eastAsia="仿宋_GB2312" w:cs="Times New Roman"/>
          <w:spacing w:val="7"/>
          <w:sz w:val="31"/>
          <w:szCs w:val="31"/>
          <w:highlight w:val="none"/>
        </w:rPr>
        <w:t>万元</w:t>
      </w:r>
      <w:r>
        <w:rPr>
          <w:rFonts w:ascii="Times New Roman" w:hAnsi="Times New Roman" w:eastAsia="仿宋_GB2312" w:cs="Times New Roman"/>
          <w:spacing w:val="2"/>
          <w:sz w:val="31"/>
          <w:szCs w:val="31"/>
          <w:highlight w:val="none"/>
        </w:rPr>
        <w:t>。</w:t>
      </w:r>
    </w:p>
    <w:p w14:paraId="6AD5822A">
      <w:pPr>
        <w:spacing w:before="48" w:line="224" w:lineRule="auto"/>
        <w:ind w:left="659"/>
        <w:rPr>
          <w:rFonts w:ascii="Times New Roman" w:hAnsi="Times New Roman" w:eastAsia="仿宋_GB2312" w:cs="Times New Roman"/>
          <w:sz w:val="31"/>
          <w:szCs w:val="31"/>
        </w:rPr>
      </w:pPr>
      <w:r>
        <w:rPr>
          <w:rFonts w:ascii="Times New Roman" w:hAnsi="Times New Roman" w:eastAsia="仿宋_GB2312" w:cs="Times New Roman"/>
          <w:spacing w:val="9"/>
          <w:sz w:val="31"/>
          <w:szCs w:val="31"/>
        </w:rPr>
        <w:t>（三）国有资产占用情况说明</w:t>
      </w:r>
    </w:p>
    <w:p w14:paraId="3AB7F4CE">
      <w:pPr>
        <w:spacing w:before="286" w:line="340" w:lineRule="auto"/>
        <w:ind w:left="21" w:firstLine="650"/>
        <w:rPr>
          <w:rFonts w:ascii="Times New Roman" w:hAnsi="Times New Roman" w:eastAsia="仿宋_GB2312" w:cs="Times New Roman"/>
          <w:sz w:val="31"/>
          <w:szCs w:val="31"/>
        </w:rPr>
      </w:pPr>
      <w:r>
        <w:rPr>
          <w:rFonts w:ascii="Times New Roman" w:hAnsi="Times New Roman" w:eastAsia="仿宋_GB2312" w:cs="Times New Roman"/>
          <w:sz w:val="31"/>
          <w:szCs w:val="31"/>
        </w:rPr>
        <w:t>截至</w:t>
      </w:r>
      <w:r>
        <w:rPr>
          <w:rFonts w:ascii="Times New Roman" w:hAnsi="Times New Roman" w:eastAsia="仿宋_GB2312" w:cs="Times New Roman"/>
          <w:spacing w:val="-33"/>
          <w:sz w:val="31"/>
          <w:szCs w:val="31"/>
        </w:rPr>
        <w:t xml:space="preserve"> </w:t>
      </w:r>
      <w:r>
        <w:rPr>
          <w:rFonts w:ascii="Times New Roman" w:hAnsi="Times New Roman" w:eastAsia="仿宋_GB2312" w:cs="Times New Roman"/>
          <w:sz w:val="31"/>
          <w:szCs w:val="31"/>
        </w:rPr>
        <w:t>202</w:t>
      </w:r>
      <w:r>
        <w:rPr>
          <w:rFonts w:hint="eastAsia" w:ascii="Times New Roman" w:hAnsi="Times New Roman" w:eastAsia="仿宋_GB2312" w:cs="Times New Roman"/>
          <w:sz w:val="31"/>
          <w:szCs w:val="31"/>
          <w:lang w:val="en-US" w:eastAsia="zh-CN"/>
        </w:rPr>
        <w:t>5</w:t>
      </w:r>
      <w:r>
        <w:rPr>
          <w:rFonts w:ascii="Times New Roman" w:hAnsi="Times New Roman" w:eastAsia="仿宋_GB2312" w:cs="Times New Roman"/>
          <w:spacing w:val="-33"/>
          <w:sz w:val="31"/>
          <w:szCs w:val="31"/>
        </w:rPr>
        <w:t xml:space="preserve"> </w:t>
      </w:r>
      <w:r>
        <w:rPr>
          <w:rFonts w:ascii="Times New Roman" w:hAnsi="Times New Roman" w:eastAsia="仿宋_GB2312" w:cs="Times New Roman"/>
          <w:sz w:val="31"/>
          <w:szCs w:val="31"/>
        </w:rPr>
        <w:t>年 12 月</w:t>
      </w:r>
      <w:r>
        <w:rPr>
          <w:rFonts w:ascii="Times New Roman" w:hAnsi="Times New Roman" w:eastAsia="仿宋_GB2312" w:cs="Times New Roman"/>
          <w:spacing w:val="-31"/>
          <w:sz w:val="31"/>
          <w:szCs w:val="31"/>
        </w:rPr>
        <w:t xml:space="preserve"> </w:t>
      </w:r>
      <w:r>
        <w:rPr>
          <w:rFonts w:ascii="Times New Roman" w:hAnsi="Times New Roman" w:eastAsia="仿宋_GB2312" w:cs="Times New Roman"/>
          <w:sz w:val="31"/>
          <w:szCs w:val="31"/>
        </w:rPr>
        <w:t>31 日，</w:t>
      </w:r>
      <w:r>
        <w:rPr>
          <w:rFonts w:hint="eastAsia" w:ascii="Times New Roman" w:hAnsi="Times New Roman" w:eastAsia="仿宋_GB2312" w:cs="Times New Roman"/>
          <w:sz w:val="31"/>
          <w:szCs w:val="31"/>
          <w:lang w:eastAsia="zh-CN"/>
        </w:rPr>
        <w:t>长春二道区财政局</w:t>
      </w:r>
      <w:r>
        <w:rPr>
          <w:rFonts w:hint="eastAsia" w:ascii="Times New Roman" w:hAnsi="Times New Roman" w:eastAsia="仿宋_GB2312" w:cs="Times New Roman"/>
          <w:spacing w:val="-1"/>
          <w:sz w:val="31"/>
          <w:szCs w:val="31"/>
          <w:lang w:eastAsia="zh-CN"/>
        </w:rPr>
        <w:t>无</w:t>
      </w:r>
      <w:r>
        <w:rPr>
          <w:rFonts w:ascii="Times New Roman" w:hAnsi="Times New Roman" w:eastAsia="仿宋_GB2312" w:cs="Times New Roman"/>
          <w:spacing w:val="7"/>
          <w:sz w:val="31"/>
          <w:szCs w:val="31"/>
        </w:rPr>
        <w:t xml:space="preserve">车辆 </w:t>
      </w:r>
      <w:r>
        <w:rPr>
          <w:rFonts w:ascii="Times New Roman" w:hAnsi="Times New Roman" w:eastAsia="仿宋_GB2312" w:cs="Times New Roman"/>
          <w:spacing w:val="8"/>
          <w:sz w:val="31"/>
          <w:szCs w:val="31"/>
        </w:rPr>
        <w:t>；单</w:t>
      </w:r>
      <w:r>
        <w:rPr>
          <w:rFonts w:ascii="Times New Roman" w:hAnsi="Times New Roman" w:eastAsia="仿宋_GB2312" w:cs="Times New Roman"/>
          <w:spacing w:val="2"/>
          <w:sz w:val="31"/>
          <w:szCs w:val="31"/>
        </w:rPr>
        <w:t>位</w:t>
      </w:r>
      <w:r>
        <w:rPr>
          <w:rFonts w:hint="eastAsia" w:ascii="Times New Roman" w:hAnsi="Times New Roman" w:eastAsia="仿宋_GB2312" w:cs="Times New Roman"/>
          <w:spacing w:val="2"/>
          <w:sz w:val="31"/>
          <w:szCs w:val="31"/>
          <w:lang w:eastAsia="zh-CN"/>
        </w:rPr>
        <w:t>无</w:t>
      </w:r>
      <w:r>
        <w:rPr>
          <w:rFonts w:ascii="Times New Roman" w:hAnsi="Times New Roman" w:eastAsia="仿宋_GB2312" w:cs="Times New Roman"/>
          <w:spacing w:val="2"/>
          <w:sz w:val="31"/>
          <w:szCs w:val="31"/>
        </w:rPr>
        <w:t>价值</w:t>
      </w:r>
      <w:r>
        <w:rPr>
          <w:rFonts w:ascii="Times New Roman" w:hAnsi="Times New Roman" w:eastAsia="仿宋_GB2312" w:cs="Times New Roman"/>
          <w:spacing w:val="-25"/>
          <w:sz w:val="31"/>
          <w:szCs w:val="31"/>
        </w:rPr>
        <w:t xml:space="preserve"> </w:t>
      </w:r>
      <w:r>
        <w:rPr>
          <w:rFonts w:ascii="Times New Roman" w:hAnsi="Times New Roman" w:eastAsia="仿宋_GB2312" w:cs="Times New Roman"/>
          <w:spacing w:val="2"/>
          <w:sz w:val="31"/>
          <w:szCs w:val="31"/>
        </w:rPr>
        <w:t>100</w:t>
      </w:r>
      <w:r>
        <w:rPr>
          <w:rFonts w:ascii="Times New Roman" w:hAnsi="Times New Roman" w:eastAsia="仿宋_GB2312" w:cs="Times New Roman"/>
          <w:spacing w:val="-47"/>
          <w:sz w:val="31"/>
          <w:szCs w:val="31"/>
        </w:rPr>
        <w:t xml:space="preserve"> </w:t>
      </w:r>
      <w:r>
        <w:rPr>
          <w:rFonts w:ascii="Times New Roman" w:hAnsi="Times New Roman" w:eastAsia="仿宋_GB2312" w:cs="Times New Roman"/>
          <w:spacing w:val="2"/>
          <w:sz w:val="31"/>
          <w:szCs w:val="31"/>
        </w:rPr>
        <w:t>万元（含）以上设备。</w:t>
      </w:r>
    </w:p>
    <w:p w14:paraId="7E00B281">
      <w:pPr>
        <w:spacing w:line="340" w:lineRule="auto"/>
        <w:rPr>
          <w:rFonts w:ascii="Times New Roman" w:hAnsi="Times New Roman" w:eastAsia="仿宋_GB2312" w:cs="Times New Roman"/>
          <w:sz w:val="31"/>
          <w:szCs w:val="31"/>
        </w:rPr>
        <w:sectPr>
          <w:footerReference r:id="rId3" w:type="default"/>
          <w:pgSz w:w="11907" w:h="16839"/>
          <w:pgMar w:top="1431" w:right="1774" w:bottom="1153" w:left="1785" w:header="0" w:footer="965" w:gutter="0"/>
          <w:pgNumType w:fmt="decimal"/>
          <w:cols w:space="720" w:num="1"/>
        </w:sectPr>
      </w:pPr>
    </w:p>
    <w:p w14:paraId="61000403">
      <w:pPr>
        <w:keepNext w:val="0"/>
        <w:keepLines w:val="0"/>
        <w:pageBreakBefore w:val="0"/>
        <w:widowControl w:val="0"/>
        <w:kinsoku/>
        <w:wordWrap/>
        <w:overflowPunct/>
        <w:topLinePunct w:val="0"/>
        <w:bidi w:val="0"/>
        <w:spacing w:line="560" w:lineRule="exact"/>
        <w:ind w:right="0" w:rightChars="0"/>
        <w:jc w:val="center"/>
        <w:textAlignment w:val="auto"/>
        <w:outlineLvl w:val="9"/>
        <w:rPr>
          <w:rFonts w:hint="eastAsia" w:ascii="Times New Roman" w:hAnsi="Times New Roman" w:eastAsia="方正小标宋简体"/>
          <w:sz w:val="44"/>
          <w:highlight w:val="none"/>
        </w:rPr>
      </w:pPr>
    </w:p>
    <w:p w14:paraId="0B985E25">
      <w:pPr>
        <w:keepNext w:val="0"/>
        <w:keepLines w:val="0"/>
        <w:pageBreakBefore w:val="0"/>
        <w:widowControl w:val="0"/>
        <w:kinsoku/>
        <w:wordWrap/>
        <w:overflowPunct/>
        <w:topLinePunct w:val="0"/>
        <w:bidi w:val="0"/>
        <w:spacing w:line="560" w:lineRule="exact"/>
        <w:ind w:right="0" w:rightChars="0"/>
        <w:jc w:val="center"/>
        <w:textAlignment w:val="auto"/>
        <w:outlineLvl w:val="9"/>
        <w:rPr>
          <w:rFonts w:hint="eastAsia" w:ascii="Times New Roman" w:hAnsi="Times New Roman" w:eastAsia="方正小标宋简体"/>
          <w:sz w:val="44"/>
          <w:highlight w:val="none"/>
        </w:rPr>
      </w:pPr>
      <w:r>
        <w:rPr>
          <w:rFonts w:hint="eastAsia" w:ascii="Times New Roman" w:hAnsi="Times New Roman" w:eastAsia="方正小标宋简体"/>
          <w:sz w:val="44"/>
          <w:highlight w:val="none"/>
        </w:rPr>
        <w:t>第四部分  名词解释</w:t>
      </w:r>
    </w:p>
    <w:p w14:paraId="0EF6B873">
      <w:pPr>
        <w:keepNext w:val="0"/>
        <w:keepLines w:val="0"/>
        <w:pageBreakBefore w:val="0"/>
        <w:widowControl w:val="0"/>
        <w:kinsoku/>
        <w:wordWrap/>
        <w:overflowPunct/>
        <w:topLinePunct w:val="0"/>
        <w:bidi w:val="0"/>
        <w:spacing w:line="560" w:lineRule="exact"/>
        <w:ind w:right="0" w:rightChars="0" w:firstLine="618" w:firstLineChars="200"/>
        <w:textAlignment w:val="auto"/>
        <w:outlineLvl w:val="9"/>
        <w:rPr>
          <w:rFonts w:hint="eastAsia" w:ascii="Times New Roman" w:hAnsi="Times New Roman" w:eastAsia="仿宋_GB2312"/>
          <w:sz w:val="32"/>
          <w:highlight w:val="none"/>
        </w:rPr>
      </w:pPr>
    </w:p>
    <w:p w14:paraId="4FFBEA8E">
      <w:pPr>
        <w:keepNext w:val="0"/>
        <w:keepLines w:val="0"/>
        <w:pageBreakBefore w:val="0"/>
        <w:widowControl w:val="0"/>
        <w:kinsoku/>
        <w:wordWrap/>
        <w:overflowPunct/>
        <w:topLinePunct w:val="0"/>
        <w:bidi w:val="0"/>
        <w:spacing w:line="560" w:lineRule="exact"/>
        <w:ind w:right="0" w:rightChars="0" w:firstLine="618"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一、财政拨款收入</w:t>
      </w:r>
      <w:r>
        <w:rPr>
          <w:rFonts w:hint="eastAsia" w:ascii="Times New Roman" w:hAnsi="Times New Roman" w:eastAsia="仿宋_GB2312"/>
          <w:b/>
          <w:bCs/>
          <w:sz w:val="32"/>
          <w:highlight w:val="none"/>
        </w:rPr>
        <w:t>：</w:t>
      </w:r>
      <w:r>
        <w:rPr>
          <w:rFonts w:hint="eastAsia" w:ascii="Times New Roman" w:hAnsi="Times New Roman" w:eastAsia="仿宋_GB2312"/>
          <w:sz w:val="32"/>
          <w:highlight w:val="none"/>
        </w:rPr>
        <w:t>指单位从同级财政部门取得的财政预算资金。</w:t>
      </w:r>
    </w:p>
    <w:p w14:paraId="01A921F6">
      <w:pPr>
        <w:keepNext w:val="0"/>
        <w:keepLines w:val="0"/>
        <w:pageBreakBefore w:val="0"/>
        <w:widowControl w:val="0"/>
        <w:kinsoku/>
        <w:wordWrap/>
        <w:overflowPunct/>
        <w:topLinePunct w:val="0"/>
        <w:bidi w:val="0"/>
        <w:spacing w:line="560" w:lineRule="exact"/>
        <w:ind w:right="0" w:rightChars="0" w:firstLine="618"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二、上级补助收入</w:t>
      </w:r>
      <w:r>
        <w:rPr>
          <w:rFonts w:hint="eastAsia" w:ascii="Times New Roman" w:hAnsi="Times New Roman" w:eastAsia="仿宋_GB2312"/>
          <w:b/>
          <w:bCs/>
          <w:sz w:val="32"/>
          <w:highlight w:val="none"/>
        </w:rPr>
        <w:t>：</w:t>
      </w:r>
      <w:r>
        <w:rPr>
          <w:rFonts w:hint="eastAsia" w:ascii="Times New Roman" w:hAnsi="Times New Roman" w:eastAsia="仿宋_GB2312"/>
          <w:sz w:val="32"/>
          <w:highlight w:val="none"/>
        </w:rPr>
        <w:t>指从主管部门</w:t>
      </w:r>
      <w:r>
        <w:rPr>
          <w:rFonts w:hint="eastAsia" w:ascii="Times New Roman" w:hAnsi="Times New Roman" w:eastAsia="仿宋_GB2312"/>
          <w:sz w:val="32"/>
          <w:highlight w:val="none"/>
          <w:lang w:eastAsia="zh-CN"/>
        </w:rPr>
        <w:t>或</w:t>
      </w:r>
      <w:r>
        <w:rPr>
          <w:rFonts w:hint="eastAsia" w:ascii="Times New Roman" w:hAnsi="Times New Roman" w:eastAsia="仿宋_GB2312"/>
          <w:sz w:val="32"/>
          <w:highlight w:val="none"/>
        </w:rPr>
        <w:t>上级单位取得的非财政补助收入。</w:t>
      </w:r>
    </w:p>
    <w:p w14:paraId="41E2D218">
      <w:pPr>
        <w:keepNext w:val="0"/>
        <w:keepLines w:val="0"/>
        <w:pageBreakBefore w:val="0"/>
        <w:widowControl w:val="0"/>
        <w:kinsoku/>
        <w:wordWrap/>
        <w:overflowPunct/>
        <w:topLinePunct w:val="0"/>
        <w:bidi w:val="0"/>
        <w:spacing w:line="560" w:lineRule="exact"/>
        <w:ind w:right="0" w:rightChars="0" w:firstLine="618" w:firstLineChars="200"/>
        <w:textAlignment w:val="auto"/>
        <w:outlineLvl w:val="9"/>
        <w:rPr>
          <w:rFonts w:hint="eastAsia" w:ascii="Times New Roman" w:hAnsi="Times New Roman" w:eastAsia="仿宋_GB2312"/>
          <w:b w:val="0"/>
          <w:bCs w:val="0"/>
          <w:sz w:val="32"/>
          <w:highlight w:val="none"/>
        </w:rPr>
      </w:pPr>
      <w:r>
        <w:rPr>
          <w:rFonts w:hint="eastAsia" w:ascii="Times New Roman" w:hAnsi="Times New Roman" w:eastAsia="黑体" w:cs="黑体"/>
          <w:b w:val="0"/>
          <w:bCs w:val="0"/>
          <w:sz w:val="32"/>
          <w:highlight w:val="none"/>
        </w:rPr>
        <w:t>三、事业收入</w:t>
      </w:r>
      <w:r>
        <w:rPr>
          <w:rFonts w:hint="eastAsia" w:ascii="Times New Roman" w:hAnsi="Times New Roman" w:eastAsia="仿宋_GB2312"/>
          <w:b/>
          <w:bCs/>
          <w:sz w:val="32"/>
          <w:highlight w:val="none"/>
        </w:rPr>
        <w:t>：</w:t>
      </w:r>
      <w:r>
        <w:rPr>
          <w:rFonts w:hint="eastAsia" w:ascii="Times New Roman" w:hAnsi="Times New Roman" w:eastAsia="仿宋_GB2312"/>
          <w:b w:val="0"/>
          <w:bCs w:val="0"/>
          <w:sz w:val="32"/>
          <w:highlight w:val="none"/>
        </w:rPr>
        <w:t>指事业单位开展专业业务活动及辅助活动取得的收入。</w:t>
      </w:r>
    </w:p>
    <w:p w14:paraId="08528DAF">
      <w:pPr>
        <w:keepNext w:val="0"/>
        <w:keepLines w:val="0"/>
        <w:pageBreakBefore w:val="0"/>
        <w:widowControl w:val="0"/>
        <w:kinsoku/>
        <w:wordWrap/>
        <w:overflowPunct/>
        <w:topLinePunct w:val="0"/>
        <w:bidi w:val="0"/>
        <w:spacing w:line="560" w:lineRule="exact"/>
        <w:ind w:right="0" w:rightChars="0" w:firstLine="618"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四、经营收入：</w:t>
      </w:r>
      <w:r>
        <w:rPr>
          <w:rFonts w:hint="eastAsia" w:ascii="Times New Roman" w:hAnsi="Times New Roman" w:eastAsia="仿宋_GB2312"/>
          <w:sz w:val="32"/>
          <w:highlight w:val="none"/>
        </w:rPr>
        <w:t>指事业单位在专业业务活动及其辅助活动之外开展非独立核算经营活动取得的收入。</w:t>
      </w:r>
    </w:p>
    <w:p w14:paraId="124F295B">
      <w:pPr>
        <w:keepNext w:val="0"/>
        <w:keepLines w:val="0"/>
        <w:pageBreakBefore w:val="0"/>
        <w:widowControl w:val="0"/>
        <w:kinsoku/>
        <w:wordWrap/>
        <w:overflowPunct/>
        <w:topLinePunct w:val="0"/>
        <w:autoSpaceDN w:val="0"/>
        <w:bidi w:val="0"/>
        <w:spacing w:line="560" w:lineRule="exact"/>
        <w:ind w:right="0" w:rightChars="0" w:firstLine="618"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五、附属单位上缴收入：</w:t>
      </w:r>
      <w:r>
        <w:rPr>
          <w:rFonts w:hint="eastAsia" w:ascii="Times New Roman" w:hAnsi="Times New Roman" w:eastAsia="仿宋_GB2312"/>
          <w:sz w:val="32"/>
          <w:highlight w:val="none"/>
        </w:rPr>
        <w:t>指事业单位附属独立核算单位按照有关规定上缴的收入。</w:t>
      </w:r>
    </w:p>
    <w:p w14:paraId="5A6E9C98">
      <w:pPr>
        <w:keepNext w:val="0"/>
        <w:keepLines w:val="0"/>
        <w:pageBreakBefore w:val="0"/>
        <w:widowControl w:val="0"/>
        <w:kinsoku/>
        <w:wordWrap/>
        <w:overflowPunct/>
        <w:topLinePunct w:val="0"/>
        <w:autoSpaceDN w:val="0"/>
        <w:bidi w:val="0"/>
        <w:spacing w:line="560" w:lineRule="exact"/>
        <w:ind w:right="0" w:rightChars="0" w:firstLine="618"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六、其他收入：</w:t>
      </w:r>
      <w:r>
        <w:rPr>
          <w:rFonts w:hint="eastAsia" w:ascii="Times New Roman" w:hAnsi="Times New Roman" w:eastAsia="仿宋_GB2312"/>
          <w:sz w:val="32"/>
          <w:highlight w:val="none"/>
        </w:rPr>
        <w:t>指除上述收入以外的各项收入。包括未纳入财政预算或财政专户管理的投资收益、银行存款利息收入、租金收入、捐赠收入</w:t>
      </w:r>
      <w:r>
        <w:rPr>
          <w:rFonts w:hint="eastAsia" w:ascii="Times New Roman" w:hAnsi="Times New Roman" w:eastAsia="仿宋_GB2312"/>
          <w:sz w:val="32"/>
          <w:highlight w:val="none"/>
          <w:lang w:eastAsia="zh-CN"/>
        </w:rPr>
        <w:t>、</w:t>
      </w:r>
      <w:r>
        <w:rPr>
          <w:rFonts w:hint="eastAsia" w:ascii="Times New Roman" w:hAnsi="Times New Roman" w:eastAsia="仿宋_GB2312"/>
          <w:sz w:val="32"/>
          <w:highlight w:val="none"/>
        </w:rPr>
        <w:t>现金盘盈收入、存货盘盈收入</w:t>
      </w:r>
      <w:r>
        <w:rPr>
          <w:rFonts w:hint="eastAsia" w:ascii="Times New Roman" w:hAnsi="Times New Roman" w:eastAsia="仿宋_GB2312"/>
          <w:sz w:val="32"/>
          <w:highlight w:val="none"/>
          <w:lang w:eastAsia="zh-CN"/>
        </w:rPr>
        <w:t>、</w:t>
      </w:r>
      <w:r>
        <w:rPr>
          <w:rFonts w:hint="eastAsia" w:ascii="Times New Roman" w:hAnsi="Times New Roman" w:eastAsia="仿宋_GB2312"/>
          <w:sz w:val="32"/>
          <w:highlight w:val="none"/>
        </w:rPr>
        <w:t>收回已核销应收及预付款项、无法偿付的应付及预收款项，从省</w:t>
      </w:r>
      <w:r>
        <w:rPr>
          <w:rFonts w:hint="eastAsia" w:ascii="Times New Roman" w:hAnsi="Times New Roman" w:eastAsia="仿宋_GB2312"/>
          <w:sz w:val="32"/>
          <w:highlight w:val="none"/>
          <w:lang w:eastAsia="zh-CN"/>
        </w:rPr>
        <w:t>级</w:t>
      </w:r>
      <w:r>
        <w:rPr>
          <w:rFonts w:hint="eastAsia" w:ascii="Times New Roman" w:hAnsi="Times New Roman" w:eastAsia="仿宋_GB2312"/>
          <w:sz w:val="32"/>
          <w:highlight w:val="none"/>
        </w:rPr>
        <w:t>财政以外的同级单位取得的经费、从省</w:t>
      </w:r>
      <w:r>
        <w:rPr>
          <w:rFonts w:hint="eastAsia" w:ascii="Times New Roman" w:hAnsi="Times New Roman" w:eastAsia="仿宋_GB2312"/>
          <w:sz w:val="32"/>
          <w:highlight w:val="none"/>
          <w:lang w:eastAsia="zh-CN"/>
        </w:rPr>
        <w:t>财政以外其他</w:t>
      </w:r>
      <w:r>
        <w:rPr>
          <w:rFonts w:hint="eastAsia" w:ascii="Times New Roman" w:hAnsi="Times New Roman" w:eastAsia="仿宋_GB2312"/>
          <w:sz w:val="32"/>
          <w:highlight w:val="none"/>
        </w:rPr>
        <w:t>财政取得的经费，以及行政单位收到的财政专户管理资金等。</w:t>
      </w:r>
    </w:p>
    <w:p w14:paraId="74598F61">
      <w:pPr>
        <w:keepNext w:val="0"/>
        <w:keepLines w:val="0"/>
        <w:pageBreakBefore w:val="0"/>
        <w:widowControl w:val="0"/>
        <w:kinsoku/>
        <w:wordWrap/>
        <w:overflowPunct/>
        <w:topLinePunct w:val="0"/>
        <w:autoSpaceDN w:val="0"/>
        <w:bidi w:val="0"/>
        <w:spacing w:line="560" w:lineRule="exact"/>
        <w:ind w:right="0" w:rightChars="0" w:firstLine="618"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七、使用非财政拨款结余（含专用结余）：</w:t>
      </w:r>
      <w:r>
        <w:rPr>
          <w:rFonts w:hint="eastAsia" w:ascii="Times New Roman" w:hAnsi="Times New Roman" w:eastAsia="仿宋_GB2312"/>
          <w:sz w:val="32"/>
          <w:highlight w:val="none"/>
        </w:rPr>
        <w:t>指事业单位按照预算管理要求使用非财政拨款结余弥补收支差额的金额，以及使用专用结余安排支出的金额。</w:t>
      </w:r>
    </w:p>
    <w:p w14:paraId="32E5AEC8">
      <w:pPr>
        <w:keepNext w:val="0"/>
        <w:keepLines w:val="0"/>
        <w:pageBreakBefore w:val="0"/>
        <w:widowControl w:val="0"/>
        <w:kinsoku/>
        <w:wordWrap/>
        <w:overflowPunct/>
        <w:topLinePunct w:val="0"/>
        <w:autoSpaceDN w:val="0"/>
        <w:bidi w:val="0"/>
        <w:spacing w:line="560" w:lineRule="exact"/>
        <w:ind w:right="0" w:rightChars="0" w:firstLine="618"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八、年初结转和结余：</w:t>
      </w:r>
      <w:r>
        <w:rPr>
          <w:rFonts w:hint="eastAsia" w:ascii="Times New Roman" w:hAnsi="Times New Roman" w:eastAsia="仿宋_GB2312"/>
          <w:sz w:val="32"/>
          <w:highlight w:val="none"/>
        </w:rPr>
        <w:t>指单位以前年度未</w:t>
      </w:r>
      <w:r>
        <w:rPr>
          <w:rFonts w:hint="eastAsia" w:ascii="Times New Roman" w:hAnsi="Times New Roman" w:eastAsia="仿宋_GB2312"/>
          <w:sz w:val="32"/>
          <w:highlight w:val="none"/>
          <w:lang w:eastAsia="zh-CN"/>
        </w:rPr>
        <w:t>支出</w:t>
      </w:r>
      <w:r>
        <w:rPr>
          <w:rFonts w:hint="eastAsia" w:ascii="Times New Roman" w:hAnsi="Times New Roman" w:eastAsia="仿宋_GB2312"/>
          <w:sz w:val="32"/>
          <w:highlight w:val="none"/>
        </w:rPr>
        <w:t>、结转到本年继续按有关规定用途使用的资金，或项目完成等产生的结余资金。</w:t>
      </w:r>
    </w:p>
    <w:p w14:paraId="11D17933">
      <w:pPr>
        <w:keepNext w:val="0"/>
        <w:keepLines w:val="0"/>
        <w:pageBreakBefore w:val="0"/>
        <w:widowControl w:val="0"/>
        <w:kinsoku/>
        <w:wordWrap/>
        <w:overflowPunct/>
        <w:topLinePunct w:val="0"/>
        <w:autoSpaceDN w:val="0"/>
        <w:bidi w:val="0"/>
        <w:spacing w:line="560" w:lineRule="exact"/>
        <w:ind w:right="0" w:rightChars="0" w:firstLine="618"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九、结余分配：</w:t>
      </w:r>
      <w:r>
        <w:rPr>
          <w:rFonts w:hint="eastAsia" w:ascii="Times New Roman" w:hAnsi="Times New Roman" w:eastAsia="仿宋_GB2312"/>
          <w:sz w:val="32"/>
          <w:highlight w:val="none"/>
        </w:rPr>
        <w:t>指事业单位按照会计制度规定缴纳的所得税、提取的专用结余以及转入非财政拨款结余的金额等。</w:t>
      </w:r>
    </w:p>
    <w:p w14:paraId="09BF56F4">
      <w:pPr>
        <w:keepNext w:val="0"/>
        <w:keepLines w:val="0"/>
        <w:pageBreakBefore w:val="0"/>
        <w:widowControl w:val="0"/>
        <w:kinsoku/>
        <w:wordWrap/>
        <w:overflowPunct/>
        <w:topLinePunct w:val="0"/>
        <w:autoSpaceDN w:val="0"/>
        <w:bidi w:val="0"/>
        <w:spacing w:line="560" w:lineRule="exact"/>
        <w:ind w:right="0" w:rightChars="0" w:firstLine="618"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十、年末结转和结余：</w:t>
      </w:r>
      <w:r>
        <w:rPr>
          <w:rFonts w:hint="eastAsia" w:ascii="Times New Roman" w:hAnsi="Times New Roman" w:eastAsia="仿宋_GB2312"/>
          <w:sz w:val="32"/>
          <w:highlight w:val="none"/>
        </w:rPr>
        <w:t>指单位按有关规定结转到下年或以后年度继续使用的资金，或项目完成等产生的结余资金。</w:t>
      </w:r>
    </w:p>
    <w:p w14:paraId="0AAD7D62">
      <w:pPr>
        <w:keepNext w:val="0"/>
        <w:keepLines w:val="0"/>
        <w:pageBreakBefore w:val="0"/>
        <w:widowControl w:val="0"/>
        <w:kinsoku/>
        <w:wordWrap/>
        <w:overflowPunct/>
        <w:topLinePunct w:val="0"/>
        <w:autoSpaceDN w:val="0"/>
        <w:bidi w:val="0"/>
        <w:spacing w:line="560" w:lineRule="exact"/>
        <w:ind w:right="0" w:rightChars="0" w:firstLine="618"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十一、基本支出：</w:t>
      </w:r>
      <w:r>
        <w:rPr>
          <w:rFonts w:hint="eastAsia" w:ascii="Times New Roman" w:hAnsi="Times New Roman" w:eastAsia="仿宋_GB2312"/>
          <w:sz w:val="32"/>
          <w:highlight w:val="none"/>
        </w:rPr>
        <w:t>指为保障机构正常运转、完成日常工作任务而发生的人员支出和公用支出。</w:t>
      </w:r>
    </w:p>
    <w:p w14:paraId="176229D8">
      <w:pPr>
        <w:keepNext w:val="0"/>
        <w:keepLines w:val="0"/>
        <w:pageBreakBefore w:val="0"/>
        <w:widowControl w:val="0"/>
        <w:kinsoku/>
        <w:wordWrap/>
        <w:overflowPunct/>
        <w:topLinePunct w:val="0"/>
        <w:autoSpaceDN w:val="0"/>
        <w:bidi w:val="0"/>
        <w:spacing w:line="560" w:lineRule="exact"/>
        <w:ind w:right="0" w:rightChars="0" w:firstLine="618"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十二、项目支出：</w:t>
      </w:r>
      <w:r>
        <w:rPr>
          <w:rFonts w:hint="eastAsia" w:ascii="Times New Roman" w:hAnsi="Times New Roman" w:eastAsia="仿宋_GB2312"/>
          <w:sz w:val="32"/>
          <w:highlight w:val="none"/>
        </w:rPr>
        <w:t>指在基本支出之外为完成特定行政任务或事业发展目标所发生的支出。</w:t>
      </w:r>
    </w:p>
    <w:p w14:paraId="530FA6D3">
      <w:pPr>
        <w:keepNext w:val="0"/>
        <w:keepLines w:val="0"/>
        <w:pageBreakBefore w:val="0"/>
        <w:widowControl w:val="0"/>
        <w:kinsoku/>
        <w:wordWrap/>
        <w:overflowPunct/>
        <w:topLinePunct w:val="0"/>
        <w:autoSpaceDN w:val="0"/>
        <w:bidi w:val="0"/>
        <w:spacing w:line="560" w:lineRule="exact"/>
        <w:ind w:right="0" w:rightChars="0" w:firstLine="618"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十三、经营支出：</w:t>
      </w:r>
      <w:r>
        <w:rPr>
          <w:rFonts w:hint="eastAsia" w:ascii="Times New Roman" w:hAnsi="Times New Roman" w:eastAsia="仿宋_GB2312"/>
          <w:sz w:val="32"/>
          <w:highlight w:val="none"/>
        </w:rPr>
        <w:t>指事业单位在专业业务活动及其辅助活动之外开展非独立核算经营活动发生的支出。</w:t>
      </w:r>
    </w:p>
    <w:p w14:paraId="3EED4384">
      <w:pPr>
        <w:keepNext w:val="0"/>
        <w:keepLines w:val="0"/>
        <w:pageBreakBefore w:val="0"/>
        <w:widowControl w:val="0"/>
        <w:kinsoku/>
        <w:wordWrap/>
        <w:overflowPunct/>
        <w:topLinePunct w:val="0"/>
        <w:autoSpaceDN w:val="0"/>
        <w:bidi w:val="0"/>
        <w:spacing w:line="560" w:lineRule="exact"/>
        <w:ind w:right="0" w:rightChars="0" w:firstLine="618"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十四、上缴上级支出：</w:t>
      </w:r>
      <w:r>
        <w:rPr>
          <w:rFonts w:hint="eastAsia" w:ascii="Times New Roman" w:hAnsi="Times New Roman" w:eastAsia="仿宋_GB2312"/>
          <w:sz w:val="32"/>
          <w:highlight w:val="none"/>
        </w:rPr>
        <w:t>指事业单位按照有关规定上缴上级单位的支出。</w:t>
      </w:r>
    </w:p>
    <w:p w14:paraId="27302666">
      <w:pPr>
        <w:keepNext w:val="0"/>
        <w:keepLines w:val="0"/>
        <w:pageBreakBefore w:val="0"/>
        <w:widowControl w:val="0"/>
        <w:kinsoku/>
        <w:wordWrap/>
        <w:overflowPunct/>
        <w:topLinePunct w:val="0"/>
        <w:autoSpaceDN w:val="0"/>
        <w:bidi w:val="0"/>
        <w:spacing w:line="560" w:lineRule="exact"/>
        <w:ind w:right="0" w:rightChars="0" w:firstLine="618"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十五、对附属单位补助支出：</w:t>
      </w:r>
      <w:r>
        <w:rPr>
          <w:rFonts w:hint="eastAsia" w:ascii="Times New Roman" w:hAnsi="Times New Roman" w:eastAsia="仿宋_GB2312"/>
          <w:sz w:val="32"/>
          <w:highlight w:val="none"/>
        </w:rPr>
        <w:t>指事业单位用财政补助收入之外的收入</w:t>
      </w:r>
      <w:r>
        <w:rPr>
          <w:rFonts w:hint="eastAsia" w:ascii="Times New Roman" w:hAnsi="Times New Roman" w:eastAsia="仿宋_GB2312"/>
          <w:sz w:val="32"/>
          <w:highlight w:val="none"/>
          <w:lang w:eastAsia="zh-CN"/>
        </w:rPr>
        <w:t>，</w:t>
      </w:r>
      <w:r>
        <w:rPr>
          <w:rFonts w:hint="eastAsia" w:ascii="Times New Roman" w:hAnsi="Times New Roman" w:eastAsia="仿宋_GB2312"/>
          <w:sz w:val="32"/>
          <w:highlight w:val="none"/>
        </w:rPr>
        <w:t>对附属单位补助发生的支出。</w:t>
      </w:r>
    </w:p>
    <w:p w14:paraId="6D10F73D">
      <w:pPr>
        <w:keepNext w:val="0"/>
        <w:keepLines w:val="0"/>
        <w:pageBreakBefore w:val="0"/>
        <w:widowControl w:val="0"/>
        <w:kinsoku/>
        <w:wordWrap/>
        <w:overflowPunct/>
        <w:topLinePunct w:val="0"/>
        <w:autoSpaceDN w:val="0"/>
        <w:bidi w:val="0"/>
        <w:spacing w:line="560" w:lineRule="exact"/>
        <w:ind w:right="0" w:rightChars="0" w:firstLine="618"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十六、“三公”经费：</w:t>
      </w:r>
      <w:r>
        <w:rPr>
          <w:rFonts w:hint="eastAsia" w:ascii="Times New Roman" w:hAnsi="Times New Roman" w:eastAsia="仿宋_GB2312"/>
          <w:sz w:val="32"/>
          <w:highlight w:val="none"/>
        </w:rPr>
        <w:t>纳入省级财政预决算管理的“三公”经费，是指省级部门用财政拨款安排的因公出国（境）费、公务用车购置及运行维护费和公务接待费。是党政机关维持运转或完成特定工作任务所开支的相关支出，是政府行政开支的一部分。其中，因公出国（境）费反映公务出国（境）的国际旅费、国外城市间交通费、住宿费、伙食费、培训费等支出；公务用车购置及运行费反映单位公务用车车辆购置支出（含车辆购置税）及燃料费、维修费、过桥过路费、保险费等支出；公务接待费反映单位按规定开支的各类公务接待（含外宾接待）支出。</w:t>
      </w:r>
    </w:p>
    <w:p w14:paraId="595182EA">
      <w:pPr>
        <w:keepNext w:val="0"/>
        <w:keepLines w:val="0"/>
        <w:pageBreakBefore w:val="0"/>
        <w:widowControl w:val="0"/>
        <w:kinsoku/>
        <w:wordWrap/>
        <w:overflowPunct/>
        <w:topLinePunct w:val="0"/>
        <w:autoSpaceDN w:val="0"/>
        <w:bidi w:val="0"/>
        <w:spacing w:line="560" w:lineRule="exact"/>
        <w:ind w:right="0" w:rightChars="0" w:firstLine="618"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十七、机关运行经费：</w:t>
      </w:r>
      <w:r>
        <w:rPr>
          <w:rFonts w:hint="eastAsia" w:ascii="Times New Roman" w:hAnsi="Times New Roman" w:eastAsia="仿宋_GB2312"/>
          <w:sz w:val="32"/>
          <w:highlight w:val="none"/>
        </w:rPr>
        <w:t>指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以及其他费用</w:t>
      </w:r>
      <w:r>
        <w:rPr>
          <w:rFonts w:hint="eastAsia" w:ascii="Times New Roman" w:hAnsi="Times New Roman" w:eastAsia="仿宋_GB2312"/>
          <w:sz w:val="32"/>
          <w:highlight w:val="none"/>
          <w:lang w:eastAsia="zh-CN"/>
        </w:rPr>
        <w:t>等</w:t>
      </w:r>
      <w:r>
        <w:rPr>
          <w:rFonts w:hint="eastAsia" w:ascii="Times New Roman" w:hAnsi="Times New Roman" w:eastAsia="仿宋_GB2312"/>
          <w:sz w:val="32"/>
          <w:highlight w:val="none"/>
        </w:rPr>
        <w:t>。</w:t>
      </w:r>
    </w:p>
    <w:p w14:paraId="746F9581">
      <w:pPr>
        <w:keepNext w:val="0"/>
        <w:keepLines w:val="0"/>
        <w:pageBreakBefore w:val="0"/>
        <w:widowControl w:val="0"/>
        <w:kinsoku/>
        <w:wordWrap/>
        <w:overflowPunct/>
        <w:topLinePunct w:val="0"/>
        <w:autoSpaceDN w:val="0"/>
        <w:bidi w:val="0"/>
        <w:spacing w:line="560" w:lineRule="exact"/>
        <w:ind w:right="0" w:rightChars="0" w:firstLine="618"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十八、******</w:t>
      </w:r>
      <w:r>
        <w:rPr>
          <w:rFonts w:hint="eastAsia" w:ascii="Times New Roman" w:hAnsi="Times New Roman" w:eastAsia="仿宋_GB2312"/>
          <w:sz w:val="32"/>
          <w:highlight w:val="none"/>
        </w:rPr>
        <w:t>（对部门使用的所有“项”级政府收支分类科目，参照《202</w:t>
      </w:r>
      <w:r>
        <w:rPr>
          <w:rFonts w:hint="eastAsia" w:ascii="Times New Roman" w:hAnsi="Times New Roman" w:eastAsia="仿宋_GB2312"/>
          <w:sz w:val="32"/>
          <w:highlight w:val="none"/>
          <w:lang w:val="en-US" w:eastAsia="zh-CN"/>
        </w:rPr>
        <w:t>5</w:t>
      </w:r>
      <w:r>
        <w:rPr>
          <w:rFonts w:hint="eastAsia" w:ascii="Times New Roman" w:hAnsi="Times New Roman" w:eastAsia="仿宋_GB2312"/>
          <w:sz w:val="32"/>
          <w:highlight w:val="none"/>
        </w:rPr>
        <w:t>年政府收支分类科目》中的科目说明和中央部门决算公开内容进行说明）：</w:t>
      </w:r>
    </w:p>
    <w:p w14:paraId="0F44051C">
      <w:pPr>
        <w:keepNext w:val="0"/>
        <w:keepLines w:val="0"/>
        <w:pageBreakBefore w:val="0"/>
        <w:widowControl w:val="0"/>
        <w:kinsoku/>
        <w:wordWrap/>
        <w:overflowPunct/>
        <w:topLinePunct w:val="0"/>
        <w:autoSpaceDN w:val="0"/>
        <w:bidi w:val="0"/>
        <w:spacing w:line="560" w:lineRule="exact"/>
        <w:ind w:right="0" w:rightChars="0" w:firstLine="618" w:firstLineChars="200"/>
        <w:textAlignment w:val="auto"/>
        <w:outlineLvl w:val="9"/>
        <w:rPr>
          <w:rFonts w:hint="eastAsia" w:ascii="Times New Roman" w:hAnsi="Times New Roman" w:eastAsia="仿宋_GB2312"/>
          <w:sz w:val="32"/>
          <w:szCs w:val="30"/>
          <w:highlight w:val="none"/>
        </w:rPr>
      </w:pPr>
      <w:r>
        <w:rPr>
          <w:rFonts w:hint="eastAsia" w:ascii="Times New Roman" w:hAnsi="Times New Roman" w:eastAsia="黑体" w:cs="黑体"/>
          <w:b w:val="0"/>
          <w:bCs w:val="0"/>
          <w:sz w:val="32"/>
          <w:highlight w:val="none"/>
        </w:rPr>
        <w:t>十九、</w:t>
      </w:r>
      <w:r>
        <w:rPr>
          <w:rFonts w:hint="eastAsia" w:ascii="Times New Roman" w:hAnsi="Times New Roman" w:eastAsia="仿宋_GB2312"/>
          <w:sz w:val="32"/>
          <w:szCs w:val="30"/>
          <w:highlight w:val="none"/>
        </w:rPr>
        <w:t>……（同上）</w:t>
      </w:r>
    </w:p>
    <w:p w14:paraId="13F5CCDB">
      <w:pPr>
        <w:keepNext w:val="0"/>
        <w:keepLines w:val="0"/>
        <w:pageBreakBefore w:val="0"/>
        <w:widowControl w:val="0"/>
        <w:kinsoku/>
        <w:wordWrap/>
        <w:overflowPunct/>
        <w:topLinePunct w:val="0"/>
        <w:autoSpaceDE/>
        <w:autoSpaceDN w:val="0"/>
        <w:bidi w:val="0"/>
        <w:adjustRightInd/>
        <w:snapToGrid/>
        <w:spacing w:line="560" w:lineRule="exact"/>
        <w:ind w:left="0" w:leftChars="0" w:right="0" w:rightChars="0" w:firstLine="618" w:firstLineChars="200"/>
        <w:jc w:val="both"/>
        <w:textAlignment w:val="auto"/>
        <w:outlineLvl w:val="9"/>
        <w:rPr>
          <w:rFonts w:hint="eastAsia" w:ascii="Times New Roman" w:hAnsi="Times New Roman" w:eastAsia="仿宋_GB2312"/>
          <w:color w:val="FF0000"/>
          <w:sz w:val="32"/>
          <w:highlight w:val="none"/>
        </w:rPr>
      </w:pPr>
      <w:r>
        <w:rPr>
          <w:rFonts w:hint="eastAsia" w:ascii="Times New Roman" w:hAnsi="Times New Roman" w:eastAsia="仿宋_GB2312"/>
          <w:color w:val="FF0000"/>
          <w:sz w:val="32"/>
          <w:highlight w:val="none"/>
        </w:rPr>
        <w:t>注：以上名词解释供参考，可以根据本单位实际情况进行增减并重新编辑序号。</w:t>
      </w:r>
    </w:p>
    <w:p w14:paraId="38F7F611">
      <w:pPr>
        <w:keepNext w:val="0"/>
        <w:keepLines w:val="0"/>
        <w:pageBreakBefore w:val="0"/>
        <w:widowControl w:val="0"/>
        <w:kinsoku/>
        <w:wordWrap/>
        <w:overflowPunct/>
        <w:topLinePunct w:val="0"/>
        <w:autoSpaceDE/>
        <w:autoSpaceDN w:val="0"/>
        <w:bidi w:val="0"/>
        <w:adjustRightInd/>
        <w:snapToGrid/>
        <w:spacing w:line="560" w:lineRule="exact"/>
        <w:ind w:left="0" w:leftChars="0" w:right="0" w:rightChars="0" w:firstLine="618" w:firstLineChars="200"/>
        <w:jc w:val="both"/>
        <w:textAlignment w:val="auto"/>
        <w:outlineLvl w:val="9"/>
        <w:rPr>
          <w:rFonts w:hint="eastAsia" w:ascii="Times New Roman" w:hAnsi="Times New Roman" w:eastAsia="仿宋_GB2312"/>
          <w:color w:val="FF0000"/>
          <w:sz w:val="32"/>
          <w:highlight w:val="none"/>
        </w:rPr>
      </w:pPr>
    </w:p>
    <w:p w14:paraId="4E8B2664">
      <w:pPr>
        <w:spacing w:before="249" w:line="355" w:lineRule="auto"/>
        <w:ind w:right="98"/>
        <w:rPr>
          <w:rFonts w:hint="eastAsia" w:ascii="Times New Roman" w:hAnsi="Times New Roman" w:eastAsia="仿宋_GB2312" w:cs="Times New Roman"/>
          <w:color w:val="000000"/>
          <w:spacing w:val="5"/>
          <w:sz w:val="31"/>
          <w:szCs w:val="31"/>
          <w:lang w:val="en-US" w:eastAsia="zh-CN"/>
        </w:rPr>
      </w:pPr>
      <w:r>
        <w:rPr>
          <w:rFonts w:hint="default" w:ascii="Times New Roman" w:hAnsi="Times New Roman" w:eastAsia="仿宋_GB2312" w:cs="Times New Roman"/>
          <w:color w:val="000000"/>
          <w:spacing w:val="5"/>
          <w:sz w:val="31"/>
          <w:szCs w:val="31"/>
        </w:rPr>
        <w:t>初审：</w:t>
      </w:r>
      <w:r>
        <w:rPr>
          <w:rFonts w:hint="eastAsia" w:eastAsia="仿宋_GB2312" w:cs="Times New Roman"/>
          <w:color w:val="000000"/>
          <w:spacing w:val="5"/>
          <w:sz w:val="31"/>
          <w:szCs w:val="31"/>
          <w:lang w:eastAsia="zh-CN"/>
        </w:rPr>
        <w:t>李珊珊</w:t>
      </w:r>
    </w:p>
    <w:p w14:paraId="0F5E3E74">
      <w:pPr>
        <w:spacing w:before="249" w:line="355" w:lineRule="auto"/>
        <w:ind w:right="98"/>
        <w:rPr>
          <w:rFonts w:hint="eastAsia" w:ascii="Times New Roman" w:hAnsi="Times New Roman" w:eastAsia="仿宋_GB2312" w:cs="Times New Roman"/>
          <w:color w:val="000000"/>
          <w:spacing w:val="5"/>
          <w:sz w:val="31"/>
          <w:szCs w:val="31"/>
          <w:lang w:val="en-US" w:eastAsia="zh-CN"/>
        </w:rPr>
      </w:pPr>
      <w:r>
        <w:rPr>
          <w:rFonts w:hint="default" w:ascii="Times New Roman" w:hAnsi="Times New Roman" w:eastAsia="仿宋_GB2312" w:cs="Times New Roman"/>
          <w:color w:val="000000"/>
          <w:spacing w:val="5"/>
          <w:sz w:val="31"/>
          <w:szCs w:val="31"/>
        </w:rPr>
        <w:t>复审：</w:t>
      </w:r>
      <w:r>
        <w:rPr>
          <w:rFonts w:hint="eastAsia" w:eastAsia="仿宋_GB2312" w:cs="Times New Roman"/>
          <w:color w:val="000000"/>
          <w:spacing w:val="5"/>
          <w:sz w:val="31"/>
          <w:szCs w:val="31"/>
          <w:lang w:eastAsia="zh-CN"/>
        </w:rPr>
        <w:t>孔索娜</w:t>
      </w:r>
    </w:p>
    <w:p w14:paraId="761F8E23">
      <w:pPr>
        <w:spacing w:before="249" w:line="355" w:lineRule="auto"/>
        <w:ind w:right="98"/>
        <w:rPr>
          <w:rFonts w:hint="eastAsia" w:ascii="Times New Roman" w:hAnsi="Times New Roman" w:eastAsia="仿宋_GB2312"/>
          <w:color w:val="FF0000"/>
          <w:sz w:val="32"/>
          <w:highlight w:val="none"/>
        </w:rPr>
      </w:pPr>
      <w:r>
        <w:rPr>
          <w:rFonts w:hint="default" w:ascii="Times New Roman" w:hAnsi="Times New Roman" w:eastAsia="仿宋_GB2312" w:cs="Times New Roman"/>
          <w:color w:val="000000"/>
          <w:spacing w:val="5"/>
          <w:sz w:val="31"/>
          <w:szCs w:val="31"/>
        </w:rPr>
        <w:t>终审：</w:t>
      </w:r>
      <w:r>
        <w:rPr>
          <w:rFonts w:hint="eastAsia" w:eastAsia="仿宋_GB2312" w:cs="Times New Roman"/>
          <w:color w:val="000000"/>
          <w:spacing w:val="5"/>
          <w:sz w:val="31"/>
          <w:szCs w:val="31"/>
          <w:lang w:eastAsia="zh-CN"/>
        </w:rPr>
        <w:t>张赫文</w:t>
      </w:r>
    </w:p>
    <w:p w14:paraId="3802468A">
      <w:pPr>
        <w:autoSpaceDN w:val="0"/>
        <w:spacing w:line="360" w:lineRule="auto"/>
        <w:ind w:firstLine="618" w:firstLineChars="200"/>
        <w:rPr>
          <w:rFonts w:hint="eastAsia" w:ascii="Times New Roman" w:hAnsi="Times New Roman" w:eastAsia="仿宋_GB2312"/>
          <w:color w:val="FF0000"/>
          <w:sz w:val="32"/>
          <w:highlight w:val="none"/>
          <w:lang w:eastAsia="zh-CN"/>
        </w:rPr>
      </w:pPr>
    </w:p>
    <w:sectPr>
      <w:footerReference r:id="rId4" w:type="default"/>
      <w:pgSz w:w="11906" w:h="16838"/>
      <w:pgMar w:top="2098" w:right="1587" w:bottom="2098" w:left="1587" w:header="851" w:footer="992" w:gutter="0"/>
      <w:pgNumType w:fmt="decimal"/>
      <w:cols w:space="720" w:num="1"/>
      <w:rtlGutter w:val="0"/>
      <w:docGrid w:type="linesAndChars" w:linePitch="574" w:charSpace="-236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B476344B-1842-431C-A69C-DAAE6F545177}"/>
  </w:font>
  <w:font w:name="黑体">
    <w:panose1 w:val="02010609060101010101"/>
    <w:charset w:val="86"/>
    <w:family w:val="auto"/>
    <w:pitch w:val="default"/>
    <w:sig w:usb0="800002BF" w:usb1="38CF7CFA" w:usb2="00000016" w:usb3="00000000" w:csb0="00040001" w:csb1="00000000"/>
    <w:embedRegular r:id="rId2" w:fontKey="{BBE7DCB8-8727-4909-8B7F-2E48D185872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ABFED59A-6D9D-43FF-9546-77DC37A5009D}"/>
  </w:font>
  <w:font w:name="仿宋">
    <w:panose1 w:val="02010609060101010101"/>
    <w:charset w:val="86"/>
    <w:family w:val="modern"/>
    <w:pitch w:val="default"/>
    <w:sig w:usb0="800002BF" w:usb1="38CF7CFA" w:usb2="00000016" w:usb3="00000000" w:csb0="00040001" w:csb1="00000000"/>
    <w:embedRegular r:id="rId4" w:fontKey="{1EA2BE3C-8C1C-48FA-BC4A-2AA3A00550EE}"/>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embedRegular r:id="rId5" w:fontKey="{88B88574-B2F5-4E4B-8892-43E988E8BF1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213DC">
    <w:pPr>
      <w:pStyle w:val="6"/>
      <w:rPr>
        <w:lang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F20A8C">
                          <w:pPr>
                            <w:pStyle w:val="6"/>
                          </w:pPr>
                          <w:r>
                            <w:t>—</w:t>
                          </w:r>
                          <w:r>
                            <w:rPr>
                              <w:sz w:val="28"/>
                              <w:szCs w:val="32"/>
                            </w:rPr>
                            <w:t xml:space="preserve"> </w:t>
                          </w:r>
                          <w:r>
                            <w:rPr>
                              <w:sz w:val="28"/>
                              <w:szCs w:val="32"/>
                            </w:rPr>
                            <w:fldChar w:fldCharType="begin"/>
                          </w:r>
                          <w:r>
                            <w:rPr>
                              <w:sz w:val="28"/>
                              <w:szCs w:val="32"/>
                            </w:rPr>
                            <w:instrText xml:space="preserve"> PAGE  \* MERGEFORMAT </w:instrText>
                          </w:r>
                          <w:r>
                            <w:rPr>
                              <w:sz w:val="28"/>
                              <w:szCs w:val="32"/>
                            </w:rPr>
                            <w:fldChar w:fldCharType="separate"/>
                          </w:r>
                          <w:r>
                            <w:rPr>
                              <w:sz w:val="28"/>
                              <w:szCs w:val="32"/>
                            </w:rPr>
                            <w:t>1</w:t>
                          </w:r>
                          <w:r>
                            <w:rPr>
                              <w:sz w:val="28"/>
                              <w:szCs w:val="32"/>
                            </w:rP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1CF20A8C">
                    <w:pPr>
                      <w:pStyle w:val="6"/>
                    </w:pPr>
                    <w:r>
                      <w:t>—</w:t>
                    </w:r>
                    <w:r>
                      <w:rPr>
                        <w:sz w:val="28"/>
                        <w:szCs w:val="32"/>
                      </w:rPr>
                      <w:t xml:space="preserve"> </w:t>
                    </w:r>
                    <w:r>
                      <w:rPr>
                        <w:sz w:val="28"/>
                        <w:szCs w:val="32"/>
                      </w:rPr>
                      <w:fldChar w:fldCharType="begin"/>
                    </w:r>
                    <w:r>
                      <w:rPr>
                        <w:sz w:val="28"/>
                        <w:szCs w:val="32"/>
                      </w:rPr>
                      <w:instrText xml:space="preserve"> PAGE  \* MERGEFORMAT </w:instrText>
                    </w:r>
                    <w:r>
                      <w:rPr>
                        <w:sz w:val="28"/>
                        <w:szCs w:val="32"/>
                      </w:rPr>
                      <w:fldChar w:fldCharType="separate"/>
                    </w:r>
                    <w:r>
                      <w:rPr>
                        <w:sz w:val="28"/>
                        <w:szCs w:val="32"/>
                      </w:rPr>
                      <w:t>1</w:t>
                    </w:r>
                    <w:r>
                      <w:rPr>
                        <w:sz w:val="28"/>
                        <w:szCs w:val="32"/>
                      </w:rP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199A4">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0240AF">
                          <w:pPr>
                            <w:pStyle w:val="6"/>
                            <w:pBdr>
                              <w:between w:val="none" w:color="auto" w:sz="0" w:space="0"/>
                            </w:pBdr>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16</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BK/U9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BOWnDlhaeKXH98vP39ffn1j&#10;q6RPH2JFaXeBEnF47QfKnf2RnIn20IJNfyLEKE7qnq/qqgGZTJfWq/W6pJCk2Hwg/OL+eoCIb5W3&#10;LBk1BxpfVlWc3kccU+eUVM35W21MHqFxfzkIM3mK1PvYY7Jw2A8Tob1vzsSH3gHV6Tx85aynLai5&#10;o6XnzLxzJHJamNmA2djPhnCSLtYcORvNNzgu1jGAPnR51VJTMbw6InWaCaQ2xtpTdzTXLMG0g2lx&#10;Hp5z1v272/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AQSv1PdAQAAvwMAAA4AAAAAAAAA&#10;AQAgAAAAHgEAAGRycy9lMm9Eb2MueG1sUEsFBgAAAAAGAAYAWQEAAG0FAAAAAA==&#10;">
              <v:fill on="f" focussize="0,0"/>
              <v:stroke on="f"/>
              <v:imagedata o:title=""/>
              <o:lock v:ext="edit" aspectratio="f"/>
              <v:textbox inset="0mm,0mm,0mm,0mm" style="mso-fit-shape-to-text:t;">
                <w:txbxContent>
                  <w:p w14:paraId="740240AF">
                    <w:pPr>
                      <w:pStyle w:val="6"/>
                      <w:pBdr>
                        <w:between w:val="none" w:color="auto" w:sz="0" w:space="0"/>
                      </w:pBdr>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16</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7FDECD"/>
    <w:multiLevelType w:val="singleLevel"/>
    <w:tmpl w:val="597FDECD"/>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99"/>
  <w:drawingGridVerticalSpacing w:val="287"/>
  <w:displayHorizontalDrawingGridEvery w:val="2"/>
  <w:displayVerticalDrawingGridEvery w:val="2"/>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mMzlhYTEwYjQ4NGVkYjUzNzJkNGEyYmU2MDVkYjkifQ=="/>
  </w:docVars>
  <w:rsids>
    <w:rsidRoot w:val="00172A27"/>
    <w:rsid w:val="00006953"/>
    <w:rsid w:val="00022B70"/>
    <w:rsid w:val="00030718"/>
    <w:rsid w:val="0003327A"/>
    <w:rsid w:val="00036702"/>
    <w:rsid w:val="00041A8F"/>
    <w:rsid w:val="0004549D"/>
    <w:rsid w:val="00047CE0"/>
    <w:rsid w:val="00050162"/>
    <w:rsid w:val="0005421A"/>
    <w:rsid w:val="0005530B"/>
    <w:rsid w:val="000572A5"/>
    <w:rsid w:val="0006372F"/>
    <w:rsid w:val="00063AE7"/>
    <w:rsid w:val="00072F52"/>
    <w:rsid w:val="00076DE8"/>
    <w:rsid w:val="00077103"/>
    <w:rsid w:val="00082348"/>
    <w:rsid w:val="0008356C"/>
    <w:rsid w:val="00083FB6"/>
    <w:rsid w:val="0008670A"/>
    <w:rsid w:val="000A6810"/>
    <w:rsid w:val="000B1B78"/>
    <w:rsid w:val="000B328C"/>
    <w:rsid w:val="000C03D5"/>
    <w:rsid w:val="000C12C9"/>
    <w:rsid w:val="000C21F2"/>
    <w:rsid w:val="000C22EB"/>
    <w:rsid w:val="000C7028"/>
    <w:rsid w:val="000D4CF2"/>
    <w:rsid w:val="000D757E"/>
    <w:rsid w:val="000F2A3E"/>
    <w:rsid w:val="00111B98"/>
    <w:rsid w:val="001130A3"/>
    <w:rsid w:val="0011688D"/>
    <w:rsid w:val="00117E36"/>
    <w:rsid w:val="001226CF"/>
    <w:rsid w:val="001248D4"/>
    <w:rsid w:val="001264B5"/>
    <w:rsid w:val="0013320C"/>
    <w:rsid w:val="00136CB8"/>
    <w:rsid w:val="00140A6B"/>
    <w:rsid w:val="00142872"/>
    <w:rsid w:val="00142968"/>
    <w:rsid w:val="00144697"/>
    <w:rsid w:val="00151432"/>
    <w:rsid w:val="00157828"/>
    <w:rsid w:val="001635CE"/>
    <w:rsid w:val="00163C65"/>
    <w:rsid w:val="00166397"/>
    <w:rsid w:val="00166FC2"/>
    <w:rsid w:val="00170FC3"/>
    <w:rsid w:val="0017769B"/>
    <w:rsid w:val="00185171"/>
    <w:rsid w:val="001866B8"/>
    <w:rsid w:val="00187424"/>
    <w:rsid w:val="00191750"/>
    <w:rsid w:val="001978EC"/>
    <w:rsid w:val="001A0649"/>
    <w:rsid w:val="001A259D"/>
    <w:rsid w:val="001B0926"/>
    <w:rsid w:val="001B144F"/>
    <w:rsid w:val="001C4B44"/>
    <w:rsid w:val="001C4E91"/>
    <w:rsid w:val="001C68E1"/>
    <w:rsid w:val="001F79FB"/>
    <w:rsid w:val="002022DE"/>
    <w:rsid w:val="00212A9F"/>
    <w:rsid w:val="00212B4C"/>
    <w:rsid w:val="002264A4"/>
    <w:rsid w:val="00233B11"/>
    <w:rsid w:val="00244CA1"/>
    <w:rsid w:val="00246493"/>
    <w:rsid w:val="00261F22"/>
    <w:rsid w:val="00262F16"/>
    <w:rsid w:val="00270E45"/>
    <w:rsid w:val="0027266F"/>
    <w:rsid w:val="0027751F"/>
    <w:rsid w:val="0028501E"/>
    <w:rsid w:val="00286147"/>
    <w:rsid w:val="002A6494"/>
    <w:rsid w:val="002B0244"/>
    <w:rsid w:val="002B6AE9"/>
    <w:rsid w:val="002C1727"/>
    <w:rsid w:val="002C2730"/>
    <w:rsid w:val="002C498B"/>
    <w:rsid w:val="002C5026"/>
    <w:rsid w:val="002C6D45"/>
    <w:rsid w:val="002D2181"/>
    <w:rsid w:val="002D2794"/>
    <w:rsid w:val="002D4069"/>
    <w:rsid w:val="002D7E93"/>
    <w:rsid w:val="002E4EB7"/>
    <w:rsid w:val="002E7A9A"/>
    <w:rsid w:val="002E7EC1"/>
    <w:rsid w:val="002F1A7B"/>
    <w:rsid w:val="002F25F8"/>
    <w:rsid w:val="00303A54"/>
    <w:rsid w:val="00305FC6"/>
    <w:rsid w:val="0032074F"/>
    <w:rsid w:val="003278D8"/>
    <w:rsid w:val="00332E1F"/>
    <w:rsid w:val="00337B82"/>
    <w:rsid w:val="003405DB"/>
    <w:rsid w:val="003425BC"/>
    <w:rsid w:val="00346031"/>
    <w:rsid w:val="00350063"/>
    <w:rsid w:val="00352C50"/>
    <w:rsid w:val="00364EC7"/>
    <w:rsid w:val="003715CB"/>
    <w:rsid w:val="00372917"/>
    <w:rsid w:val="00374631"/>
    <w:rsid w:val="0038010F"/>
    <w:rsid w:val="0038572D"/>
    <w:rsid w:val="00392658"/>
    <w:rsid w:val="003A39C7"/>
    <w:rsid w:val="003A4DD4"/>
    <w:rsid w:val="003A5A95"/>
    <w:rsid w:val="003A5DB3"/>
    <w:rsid w:val="003A6E6A"/>
    <w:rsid w:val="003B3946"/>
    <w:rsid w:val="003C04E8"/>
    <w:rsid w:val="003C2237"/>
    <w:rsid w:val="003C2728"/>
    <w:rsid w:val="003D155C"/>
    <w:rsid w:val="003D59F5"/>
    <w:rsid w:val="003E2BA3"/>
    <w:rsid w:val="003E509A"/>
    <w:rsid w:val="00401605"/>
    <w:rsid w:val="0043637F"/>
    <w:rsid w:val="004371D0"/>
    <w:rsid w:val="00444539"/>
    <w:rsid w:val="00445D02"/>
    <w:rsid w:val="004477D7"/>
    <w:rsid w:val="00450D31"/>
    <w:rsid w:val="004510ED"/>
    <w:rsid w:val="00451246"/>
    <w:rsid w:val="0045262F"/>
    <w:rsid w:val="00456AB7"/>
    <w:rsid w:val="0045724A"/>
    <w:rsid w:val="00460E21"/>
    <w:rsid w:val="00470D60"/>
    <w:rsid w:val="00483B1C"/>
    <w:rsid w:val="004922D3"/>
    <w:rsid w:val="004A6B9A"/>
    <w:rsid w:val="004B3C1F"/>
    <w:rsid w:val="004C026D"/>
    <w:rsid w:val="004C1D40"/>
    <w:rsid w:val="004D126F"/>
    <w:rsid w:val="004E1B38"/>
    <w:rsid w:val="00502032"/>
    <w:rsid w:val="00505022"/>
    <w:rsid w:val="005054EA"/>
    <w:rsid w:val="00511F70"/>
    <w:rsid w:val="00526FA8"/>
    <w:rsid w:val="005365FF"/>
    <w:rsid w:val="00545920"/>
    <w:rsid w:val="00552D11"/>
    <w:rsid w:val="00587513"/>
    <w:rsid w:val="005911F1"/>
    <w:rsid w:val="005922B2"/>
    <w:rsid w:val="005931CC"/>
    <w:rsid w:val="00593840"/>
    <w:rsid w:val="00595901"/>
    <w:rsid w:val="005A7848"/>
    <w:rsid w:val="005B04D5"/>
    <w:rsid w:val="005C3EFC"/>
    <w:rsid w:val="005C6473"/>
    <w:rsid w:val="005D420A"/>
    <w:rsid w:val="005E103C"/>
    <w:rsid w:val="005E131A"/>
    <w:rsid w:val="00603762"/>
    <w:rsid w:val="00607283"/>
    <w:rsid w:val="00613C24"/>
    <w:rsid w:val="00614BBE"/>
    <w:rsid w:val="0061645D"/>
    <w:rsid w:val="00621A6B"/>
    <w:rsid w:val="00625CB0"/>
    <w:rsid w:val="00633860"/>
    <w:rsid w:val="006401B4"/>
    <w:rsid w:val="00642EF0"/>
    <w:rsid w:val="0064350E"/>
    <w:rsid w:val="00650A40"/>
    <w:rsid w:val="00652E45"/>
    <w:rsid w:val="00657097"/>
    <w:rsid w:val="0066026A"/>
    <w:rsid w:val="00660D83"/>
    <w:rsid w:val="0066154D"/>
    <w:rsid w:val="00671591"/>
    <w:rsid w:val="006807CA"/>
    <w:rsid w:val="00682CD9"/>
    <w:rsid w:val="00683799"/>
    <w:rsid w:val="006837FA"/>
    <w:rsid w:val="00683BEC"/>
    <w:rsid w:val="00683F6C"/>
    <w:rsid w:val="00687F93"/>
    <w:rsid w:val="00690A07"/>
    <w:rsid w:val="00690FDF"/>
    <w:rsid w:val="00692A6B"/>
    <w:rsid w:val="00692A8E"/>
    <w:rsid w:val="0069338C"/>
    <w:rsid w:val="006951EE"/>
    <w:rsid w:val="006A729C"/>
    <w:rsid w:val="006B352C"/>
    <w:rsid w:val="006B50EE"/>
    <w:rsid w:val="006B521F"/>
    <w:rsid w:val="006B55BC"/>
    <w:rsid w:val="006C2B16"/>
    <w:rsid w:val="006D4085"/>
    <w:rsid w:val="006D6627"/>
    <w:rsid w:val="006F357C"/>
    <w:rsid w:val="00703132"/>
    <w:rsid w:val="007041F5"/>
    <w:rsid w:val="007256AC"/>
    <w:rsid w:val="0073510D"/>
    <w:rsid w:val="00735D33"/>
    <w:rsid w:val="007376D0"/>
    <w:rsid w:val="00742959"/>
    <w:rsid w:val="007444A7"/>
    <w:rsid w:val="00745EFB"/>
    <w:rsid w:val="00747CD1"/>
    <w:rsid w:val="00750112"/>
    <w:rsid w:val="007553B2"/>
    <w:rsid w:val="007739C9"/>
    <w:rsid w:val="007826B8"/>
    <w:rsid w:val="00786916"/>
    <w:rsid w:val="00790CC4"/>
    <w:rsid w:val="00797063"/>
    <w:rsid w:val="00797768"/>
    <w:rsid w:val="00797D83"/>
    <w:rsid w:val="007A0819"/>
    <w:rsid w:val="007A5D19"/>
    <w:rsid w:val="007A7776"/>
    <w:rsid w:val="007B0A5D"/>
    <w:rsid w:val="007B156A"/>
    <w:rsid w:val="007B3386"/>
    <w:rsid w:val="007C37FF"/>
    <w:rsid w:val="007C4AB8"/>
    <w:rsid w:val="007C4D4B"/>
    <w:rsid w:val="007D13A7"/>
    <w:rsid w:val="007D4353"/>
    <w:rsid w:val="007D536F"/>
    <w:rsid w:val="007D64E1"/>
    <w:rsid w:val="007E5C75"/>
    <w:rsid w:val="007F08FC"/>
    <w:rsid w:val="007F1A1C"/>
    <w:rsid w:val="00801633"/>
    <w:rsid w:val="00803989"/>
    <w:rsid w:val="00804332"/>
    <w:rsid w:val="00804691"/>
    <w:rsid w:val="0080772E"/>
    <w:rsid w:val="00810078"/>
    <w:rsid w:val="008136CF"/>
    <w:rsid w:val="00814FD0"/>
    <w:rsid w:val="00825E71"/>
    <w:rsid w:val="00831793"/>
    <w:rsid w:val="008376CC"/>
    <w:rsid w:val="00844952"/>
    <w:rsid w:val="00846256"/>
    <w:rsid w:val="0085070B"/>
    <w:rsid w:val="00867F10"/>
    <w:rsid w:val="00870AE1"/>
    <w:rsid w:val="008716FD"/>
    <w:rsid w:val="00871E39"/>
    <w:rsid w:val="00877B77"/>
    <w:rsid w:val="00890542"/>
    <w:rsid w:val="00890CAF"/>
    <w:rsid w:val="00891C77"/>
    <w:rsid w:val="008C4FC2"/>
    <w:rsid w:val="008D3F6B"/>
    <w:rsid w:val="008E10FD"/>
    <w:rsid w:val="0090403A"/>
    <w:rsid w:val="009059E5"/>
    <w:rsid w:val="00915519"/>
    <w:rsid w:val="00920A16"/>
    <w:rsid w:val="0092302E"/>
    <w:rsid w:val="00924273"/>
    <w:rsid w:val="00931C2B"/>
    <w:rsid w:val="009328B1"/>
    <w:rsid w:val="00936F17"/>
    <w:rsid w:val="009519C2"/>
    <w:rsid w:val="00955AC7"/>
    <w:rsid w:val="0099060F"/>
    <w:rsid w:val="009A070D"/>
    <w:rsid w:val="009A2F42"/>
    <w:rsid w:val="009A58BC"/>
    <w:rsid w:val="009A5928"/>
    <w:rsid w:val="009C0490"/>
    <w:rsid w:val="009C7F73"/>
    <w:rsid w:val="009D08EF"/>
    <w:rsid w:val="00A03D24"/>
    <w:rsid w:val="00A1592F"/>
    <w:rsid w:val="00A23DD0"/>
    <w:rsid w:val="00A272A2"/>
    <w:rsid w:val="00A276A9"/>
    <w:rsid w:val="00A3634D"/>
    <w:rsid w:val="00A40A7B"/>
    <w:rsid w:val="00A4633B"/>
    <w:rsid w:val="00A4642B"/>
    <w:rsid w:val="00A50FBF"/>
    <w:rsid w:val="00A53409"/>
    <w:rsid w:val="00A61B84"/>
    <w:rsid w:val="00A640B1"/>
    <w:rsid w:val="00A77B57"/>
    <w:rsid w:val="00A816B1"/>
    <w:rsid w:val="00A86393"/>
    <w:rsid w:val="00A8640D"/>
    <w:rsid w:val="00A925C8"/>
    <w:rsid w:val="00A92AEC"/>
    <w:rsid w:val="00A943EC"/>
    <w:rsid w:val="00AA310C"/>
    <w:rsid w:val="00AA3B36"/>
    <w:rsid w:val="00AA4948"/>
    <w:rsid w:val="00AA5C63"/>
    <w:rsid w:val="00AB0A7A"/>
    <w:rsid w:val="00AB4C89"/>
    <w:rsid w:val="00AB5C2B"/>
    <w:rsid w:val="00AC4905"/>
    <w:rsid w:val="00AC51BA"/>
    <w:rsid w:val="00AD22CE"/>
    <w:rsid w:val="00AD39D9"/>
    <w:rsid w:val="00AD5EE9"/>
    <w:rsid w:val="00AE2F18"/>
    <w:rsid w:val="00AE7387"/>
    <w:rsid w:val="00AE7E1D"/>
    <w:rsid w:val="00AF799A"/>
    <w:rsid w:val="00B03AA8"/>
    <w:rsid w:val="00B10EC3"/>
    <w:rsid w:val="00B131A9"/>
    <w:rsid w:val="00B223EE"/>
    <w:rsid w:val="00B2286B"/>
    <w:rsid w:val="00B260B9"/>
    <w:rsid w:val="00B27D41"/>
    <w:rsid w:val="00B30512"/>
    <w:rsid w:val="00B31EE0"/>
    <w:rsid w:val="00B453C4"/>
    <w:rsid w:val="00B50216"/>
    <w:rsid w:val="00B50549"/>
    <w:rsid w:val="00B51C36"/>
    <w:rsid w:val="00B52807"/>
    <w:rsid w:val="00B55436"/>
    <w:rsid w:val="00B66AF5"/>
    <w:rsid w:val="00B73AE8"/>
    <w:rsid w:val="00B77953"/>
    <w:rsid w:val="00B846FC"/>
    <w:rsid w:val="00B94551"/>
    <w:rsid w:val="00BA7C8E"/>
    <w:rsid w:val="00BB07B2"/>
    <w:rsid w:val="00BC1F3B"/>
    <w:rsid w:val="00BD6972"/>
    <w:rsid w:val="00BE2F51"/>
    <w:rsid w:val="00BE4D2E"/>
    <w:rsid w:val="00BE536D"/>
    <w:rsid w:val="00BF48EA"/>
    <w:rsid w:val="00C05D3E"/>
    <w:rsid w:val="00C05F60"/>
    <w:rsid w:val="00C15975"/>
    <w:rsid w:val="00C17DD2"/>
    <w:rsid w:val="00C21D4C"/>
    <w:rsid w:val="00C24C7F"/>
    <w:rsid w:val="00C402FF"/>
    <w:rsid w:val="00C423BD"/>
    <w:rsid w:val="00C4685B"/>
    <w:rsid w:val="00C5078C"/>
    <w:rsid w:val="00C5230F"/>
    <w:rsid w:val="00C571EB"/>
    <w:rsid w:val="00C60D70"/>
    <w:rsid w:val="00C6430E"/>
    <w:rsid w:val="00C72521"/>
    <w:rsid w:val="00C75580"/>
    <w:rsid w:val="00C82919"/>
    <w:rsid w:val="00C847AE"/>
    <w:rsid w:val="00C95845"/>
    <w:rsid w:val="00CA0906"/>
    <w:rsid w:val="00CA0E16"/>
    <w:rsid w:val="00CA3E0E"/>
    <w:rsid w:val="00CA4885"/>
    <w:rsid w:val="00CA595F"/>
    <w:rsid w:val="00CB4FEC"/>
    <w:rsid w:val="00CB61D8"/>
    <w:rsid w:val="00CB6AF0"/>
    <w:rsid w:val="00CC0509"/>
    <w:rsid w:val="00CC24B1"/>
    <w:rsid w:val="00CD0BB8"/>
    <w:rsid w:val="00CD5A08"/>
    <w:rsid w:val="00CE4EF5"/>
    <w:rsid w:val="00D14895"/>
    <w:rsid w:val="00D200C1"/>
    <w:rsid w:val="00D21B92"/>
    <w:rsid w:val="00D23915"/>
    <w:rsid w:val="00D27C11"/>
    <w:rsid w:val="00D300F6"/>
    <w:rsid w:val="00D307DD"/>
    <w:rsid w:val="00D451E5"/>
    <w:rsid w:val="00D51553"/>
    <w:rsid w:val="00D56EEF"/>
    <w:rsid w:val="00D65B9D"/>
    <w:rsid w:val="00D66A2A"/>
    <w:rsid w:val="00D71A73"/>
    <w:rsid w:val="00D86406"/>
    <w:rsid w:val="00D94D7D"/>
    <w:rsid w:val="00DA0EF4"/>
    <w:rsid w:val="00DC3CFB"/>
    <w:rsid w:val="00DC4655"/>
    <w:rsid w:val="00DD0315"/>
    <w:rsid w:val="00DE37B1"/>
    <w:rsid w:val="00DE62E3"/>
    <w:rsid w:val="00DF42FE"/>
    <w:rsid w:val="00DF5524"/>
    <w:rsid w:val="00E002F7"/>
    <w:rsid w:val="00E004C9"/>
    <w:rsid w:val="00E064D0"/>
    <w:rsid w:val="00E14D32"/>
    <w:rsid w:val="00E167C1"/>
    <w:rsid w:val="00E17321"/>
    <w:rsid w:val="00E179BC"/>
    <w:rsid w:val="00E31020"/>
    <w:rsid w:val="00E418A0"/>
    <w:rsid w:val="00E433F8"/>
    <w:rsid w:val="00E4602A"/>
    <w:rsid w:val="00E50C67"/>
    <w:rsid w:val="00E57F91"/>
    <w:rsid w:val="00E6459D"/>
    <w:rsid w:val="00E66435"/>
    <w:rsid w:val="00E67C51"/>
    <w:rsid w:val="00E7159D"/>
    <w:rsid w:val="00E840DB"/>
    <w:rsid w:val="00E87005"/>
    <w:rsid w:val="00E93E7F"/>
    <w:rsid w:val="00E953D4"/>
    <w:rsid w:val="00EA6293"/>
    <w:rsid w:val="00EA6FB0"/>
    <w:rsid w:val="00EA7CD4"/>
    <w:rsid w:val="00EB293D"/>
    <w:rsid w:val="00EB38A1"/>
    <w:rsid w:val="00EB7D19"/>
    <w:rsid w:val="00EC57F0"/>
    <w:rsid w:val="00ED0C42"/>
    <w:rsid w:val="00ED3F2E"/>
    <w:rsid w:val="00EE00C5"/>
    <w:rsid w:val="00EF3AF1"/>
    <w:rsid w:val="00EF67DF"/>
    <w:rsid w:val="00F004F1"/>
    <w:rsid w:val="00F036BB"/>
    <w:rsid w:val="00F1086E"/>
    <w:rsid w:val="00F118BC"/>
    <w:rsid w:val="00F14E68"/>
    <w:rsid w:val="00F17C25"/>
    <w:rsid w:val="00F22561"/>
    <w:rsid w:val="00F226AF"/>
    <w:rsid w:val="00F26C3A"/>
    <w:rsid w:val="00F4669D"/>
    <w:rsid w:val="00F52FE6"/>
    <w:rsid w:val="00F6416E"/>
    <w:rsid w:val="00F701CB"/>
    <w:rsid w:val="00F7137C"/>
    <w:rsid w:val="00F74876"/>
    <w:rsid w:val="00F85853"/>
    <w:rsid w:val="00F85B50"/>
    <w:rsid w:val="00F86156"/>
    <w:rsid w:val="00F8701F"/>
    <w:rsid w:val="00F91F1A"/>
    <w:rsid w:val="00FB4192"/>
    <w:rsid w:val="00FC31A1"/>
    <w:rsid w:val="00FE2D45"/>
    <w:rsid w:val="00FE64BA"/>
    <w:rsid w:val="00FF644D"/>
    <w:rsid w:val="00FF71A7"/>
    <w:rsid w:val="01291CF3"/>
    <w:rsid w:val="013836B1"/>
    <w:rsid w:val="01C17C29"/>
    <w:rsid w:val="01D25F7D"/>
    <w:rsid w:val="02631927"/>
    <w:rsid w:val="02935584"/>
    <w:rsid w:val="039950F2"/>
    <w:rsid w:val="03AF0195"/>
    <w:rsid w:val="03EB5A73"/>
    <w:rsid w:val="045B3430"/>
    <w:rsid w:val="050474A7"/>
    <w:rsid w:val="051B5087"/>
    <w:rsid w:val="052D7500"/>
    <w:rsid w:val="054144F3"/>
    <w:rsid w:val="056D7D0D"/>
    <w:rsid w:val="06BA67ED"/>
    <w:rsid w:val="078D0265"/>
    <w:rsid w:val="07BA0FF2"/>
    <w:rsid w:val="07D74041"/>
    <w:rsid w:val="08461F91"/>
    <w:rsid w:val="08E14DC5"/>
    <w:rsid w:val="099D2019"/>
    <w:rsid w:val="09ED7D19"/>
    <w:rsid w:val="09FC0338"/>
    <w:rsid w:val="0B365A8D"/>
    <w:rsid w:val="0B4C5D40"/>
    <w:rsid w:val="0C455F50"/>
    <w:rsid w:val="0C48384D"/>
    <w:rsid w:val="0DA93E4C"/>
    <w:rsid w:val="0E82019F"/>
    <w:rsid w:val="0E913F8C"/>
    <w:rsid w:val="0EC042D8"/>
    <w:rsid w:val="0EFA5D2F"/>
    <w:rsid w:val="0FD54E0B"/>
    <w:rsid w:val="10057FFD"/>
    <w:rsid w:val="10C74779"/>
    <w:rsid w:val="10DE2F25"/>
    <w:rsid w:val="11420B5D"/>
    <w:rsid w:val="115F0793"/>
    <w:rsid w:val="11E8486E"/>
    <w:rsid w:val="12277E38"/>
    <w:rsid w:val="12A204B1"/>
    <w:rsid w:val="12A612BB"/>
    <w:rsid w:val="12B83979"/>
    <w:rsid w:val="12CD5919"/>
    <w:rsid w:val="12CE5DDA"/>
    <w:rsid w:val="13281E39"/>
    <w:rsid w:val="14424B64"/>
    <w:rsid w:val="1451667D"/>
    <w:rsid w:val="149A7217"/>
    <w:rsid w:val="15C422A6"/>
    <w:rsid w:val="16215284"/>
    <w:rsid w:val="16BA16A6"/>
    <w:rsid w:val="17A9728B"/>
    <w:rsid w:val="17B3432A"/>
    <w:rsid w:val="18BD2904"/>
    <w:rsid w:val="18D2447F"/>
    <w:rsid w:val="18DC1948"/>
    <w:rsid w:val="18DD2B55"/>
    <w:rsid w:val="190350A8"/>
    <w:rsid w:val="19503578"/>
    <w:rsid w:val="19FB6DA2"/>
    <w:rsid w:val="1A011720"/>
    <w:rsid w:val="1A3056D8"/>
    <w:rsid w:val="1ABD4924"/>
    <w:rsid w:val="1B4C26D6"/>
    <w:rsid w:val="1B6A01A5"/>
    <w:rsid w:val="1B704521"/>
    <w:rsid w:val="1BBD09F3"/>
    <w:rsid w:val="1BF264AC"/>
    <w:rsid w:val="1C811E8C"/>
    <w:rsid w:val="1C833AB3"/>
    <w:rsid w:val="1CE741A3"/>
    <w:rsid w:val="1CF35D0C"/>
    <w:rsid w:val="1D5B5A38"/>
    <w:rsid w:val="1DA971FB"/>
    <w:rsid w:val="1DCC0726"/>
    <w:rsid w:val="1DF24545"/>
    <w:rsid w:val="1E1160FD"/>
    <w:rsid w:val="1E9D4136"/>
    <w:rsid w:val="1EA81C47"/>
    <w:rsid w:val="1EB43A3C"/>
    <w:rsid w:val="1ED7600F"/>
    <w:rsid w:val="1F4D411B"/>
    <w:rsid w:val="1F7A571D"/>
    <w:rsid w:val="208A259E"/>
    <w:rsid w:val="216E09DF"/>
    <w:rsid w:val="21786EFC"/>
    <w:rsid w:val="22382A16"/>
    <w:rsid w:val="22685619"/>
    <w:rsid w:val="229E098A"/>
    <w:rsid w:val="22A9011F"/>
    <w:rsid w:val="235A30FF"/>
    <w:rsid w:val="235A39D9"/>
    <w:rsid w:val="2369129F"/>
    <w:rsid w:val="23824ACD"/>
    <w:rsid w:val="23E94167"/>
    <w:rsid w:val="242878FE"/>
    <w:rsid w:val="24AA776D"/>
    <w:rsid w:val="24B66733"/>
    <w:rsid w:val="24C96BE6"/>
    <w:rsid w:val="24DE2AB2"/>
    <w:rsid w:val="24EB7A4C"/>
    <w:rsid w:val="251730EB"/>
    <w:rsid w:val="25390094"/>
    <w:rsid w:val="254C4636"/>
    <w:rsid w:val="267C3C0F"/>
    <w:rsid w:val="26CA1E67"/>
    <w:rsid w:val="26D9681D"/>
    <w:rsid w:val="27615C36"/>
    <w:rsid w:val="276A0F6E"/>
    <w:rsid w:val="27F60471"/>
    <w:rsid w:val="286F7557"/>
    <w:rsid w:val="28CB487D"/>
    <w:rsid w:val="28F87123"/>
    <w:rsid w:val="29A34F43"/>
    <w:rsid w:val="29B215CF"/>
    <w:rsid w:val="29F704C5"/>
    <w:rsid w:val="2A046C55"/>
    <w:rsid w:val="2A345118"/>
    <w:rsid w:val="2A6A1929"/>
    <w:rsid w:val="2B0C5E72"/>
    <w:rsid w:val="2B4F17D3"/>
    <w:rsid w:val="2B687DF3"/>
    <w:rsid w:val="2BD56AA4"/>
    <w:rsid w:val="2C740706"/>
    <w:rsid w:val="2C933EA5"/>
    <w:rsid w:val="2CA27B50"/>
    <w:rsid w:val="2CAA0F45"/>
    <w:rsid w:val="2CD54307"/>
    <w:rsid w:val="2CF649E8"/>
    <w:rsid w:val="2D140094"/>
    <w:rsid w:val="2D376497"/>
    <w:rsid w:val="2E3A1976"/>
    <w:rsid w:val="2E4733B9"/>
    <w:rsid w:val="2E663CE3"/>
    <w:rsid w:val="2E8E4319"/>
    <w:rsid w:val="2E973096"/>
    <w:rsid w:val="2E9C15FE"/>
    <w:rsid w:val="2F2D1EAD"/>
    <w:rsid w:val="2FA9194B"/>
    <w:rsid w:val="2FDC43A0"/>
    <w:rsid w:val="2FE41633"/>
    <w:rsid w:val="2FF16D2E"/>
    <w:rsid w:val="303B6D52"/>
    <w:rsid w:val="30404DA3"/>
    <w:rsid w:val="311B2DB5"/>
    <w:rsid w:val="31200E48"/>
    <w:rsid w:val="312F40AC"/>
    <w:rsid w:val="31696AB3"/>
    <w:rsid w:val="3212787A"/>
    <w:rsid w:val="333E5CF6"/>
    <w:rsid w:val="33CE6DF1"/>
    <w:rsid w:val="33D2753F"/>
    <w:rsid w:val="33D5291B"/>
    <w:rsid w:val="34A343A7"/>
    <w:rsid w:val="34B67240"/>
    <w:rsid w:val="34BC093C"/>
    <w:rsid w:val="34DE5E1D"/>
    <w:rsid w:val="34ED4416"/>
    <w:rsid w:val="35720CEF"/>
    <w:rsid w:val="35A61CEB"/>
    <w:rsid w:val="360B58E8"/>
    <w:rsid w:val="36447551"/>
    <w:rsid w:val="368A773C"/>
    <w:rsid w:val="36B47E29"/>
    <w:rsid w:val="36EE7B2A"/>
    <w:rsid w:val="38D416BA"/>
    <w:rsid w:val="38F74948"/>
    <w:rsid w:val="3922614F"/>
    <w:rsid w:val="395E7574"/>
    <w:rsid w:val="3A201838"/>
    <w:rsid w:val="3A207555"/>
    <w:rsid w:val="3ABA6DAF"/>
    <w:rsid w:val="3B007FD0"/>
    <w:rsid w:val="3B60095D"/>
    <w:rsid w:val="3B824694"/>
    <w:rsid w:val="3BAA4295"/>
    <w:rsid w:val="3BF86E47"/>
    <w:rsid w:val="3C1C2D73"/>
    <w:rsid w:val="3C5926B5"/>
    <w:rsid w:val="3CBA7FA6"/>
    <w:rsid w:val="3D257AE9"/>
    <w:rsid w:val="3D4D1962"/>
    <w:rsid w:val="3D561BE0"/>
    <w:rsid w:val="3DD67D97"/>
    <w:rsid w:val="3E5217D0"/>
    <w:rsid w:val="3EAB28E4"/>
    <w:rsid w:val="3EBF597A"/>
    <w:rsid w:val="3F847C6B"/>
    <w:rsid w:val="3F8A54A4"/>
    <w:rsid w:val="3FFA71C8"/>
    <w:rsid w:val="401F5D22"/>
    <w:rsid w:val="403C40EB"/>
    <w:rsid w:val="404207E8"/>
    <w:rsid w:val="4057425D"/>
    <w:rsid w:val="4080075D"/>
    <w:rsid w:val="40B71CA9"/>
    <w:rsid w:val="40C80B50"/>
    <w:rsid w:val="415A7328"/>
    <w:rsid w:val="416044FF"/>
    <w:rsid w:val="417267DD"/>
    <w:rsid w:val="41952491"/>
    <w:rsid w:val="41BE4B11"/>
    <w:rsid w:val="41F737C5"/>
    <w:rsid w:val="42161774"/>
    <w:rsid w:val="421C2E70"/>
    <w:rsid w:val="4244364D"/>
    <w:rsid w:val="42543E02"/>
    <w:rsid w:val="42812842"/>
    <w:rsid w:val="42E32929"/>
    <w:rsid w:val="430B188A"/>
    <w:rsid w:val="43903EC6"/>
    <w:rsid w:val="443A66DC"/>
    <w:rsid w:val="447D1A52"/>
    <w:rsid w:val="44840D0E"/>
    <w:rsid w:val="44A45BD7"/>
    <w:rsid w:val="44A85C75"/>
    <w:rsid w:val="44BE15B5"/>
    <w:rsid w:val="44C9341E"/>
    <w:rsid w:val="45A82767"/>
    <w:rsid w:val="46125131"/>
    <w:rsid w:val="46952593"/>
    <w:rsid w:val="46D949EB"/>
    <w:rsid w:val="475F4668"/>
    <w:rsid w:val="47E07977"/>
    <w:rsid w:val="484B52B5"/>
    <w:rsid w:val="48626CF9"/>
    <w:rsid w:val="48700F9E"/>
    <w:rsid w:val="487A58C4"/>
    <w:rsid w:val="48951DA6"/>
    <w:rsid w:val="495F4397"/>
    <w:rsid w:val="4A432D80"/>
    <w:rsid w:val="4AF84FA0"/>
    <w:rsid w:val="4AFC450A"/>
    <w:rsid w:val="4B6A1F48"/>
    <w:rsid w:val="4B8240C1"/>
    <w:rsid w:val="4B8C63F6"/>
    <w:rsid w:val="4BCC7805"/>
    <w:rsid w:val="4BF042B3"/>
    <w:rsid w:val="4C3837E9"/>
    <w:rsid w:val="4C4D6C9D"/>
    <w:rsid w:val="4C835077"/>
    <w:rsid w:val="4C876579"/>
    <w:rsid w:val="4CF54679"/>
    <w:rsid w:val="4D0E758C"/>
    <w:rsid w:val="4D38183D"/>
    <w:rsid w:val="4D661F7C"/>
    <w:rsid w:val="4D7321F1"/>
    <w:rsid w:val="4D90277D"/>
    <w:rsid w:val="4D967D9A"/>
    <w:rsid w:val="4DAE4B36"/>
    <w:rsid w:val="4DCF0D74"/>
    <w:rsid w:val="4DED1B7E"/>
    <w:rsid w:val="4DEF6D1B"/>
    <w:rsid w:val="4E375881"/>
    <w:rsid w:val="4E945B07"/>
    <w:rsid w:val="4EC74FDB"/>
    <w:rsid w:val="4F4F0196"/>
    <w:rsid w:val="4F7030A6"/>
    <w:rsid w:val="50A31D1F"/>
    <w:rsid w:val="50C44111"/>
    <w:rsid w:val="50CA3EFF"/>
    <w:rsid w:val="50D90943"/>
    <w:rsid w:val="51595B90"/>
    <w:rsid w:val="524B622E"/>
    <w:rsid w:val="525C2AAA"/>
    <w:rsid w:val="527F60E4"/>
    <w:rsid w:val="52DE564C"/>
    <w:rsid w:val="53055976"/>
    <w:rsid w:val="53B51A78"/>
    <w:rsid w:val="542C6F04"/>
    <w:rsid w:val="5433756D"/>
    <w:rsid w:val="544B604C"/>
    <w:rsid w:val="555417D6"/>
    <w:rsid w:val="55EE1B92"/>
    <w:rsid w:val="56145930"/>
    <w:rsid w:val="56276642"/>
    <w:rsid w:val="563F5C38"/>
    <w:rsid w:val="565E2966"/>
    <w:rsid w:val="568650EC"/>
    <w:rsid w:val="569A0092"/>
    <w:rsid w:val="56D22439"/>
    <w:rsid w:val="573C1FDD"/>
    <w:rsid w:val="58AC562C"/>
    <w:rsid w:val="58AF1FE4"/>
    <w:rsid w:val="5919472F"/>
    <w:rsid w:val="594B2916"/>
    <w:rsid w:val="598C5E68"/>
    <w:rsid w:val="59B913DD"/>
    <w:rsid w:val="59C15939"/>
    <w:rsid w:val="59E34416"/>
    <w:rsid w:val="5A8F7B66"/>
    <w:rsid w:val="5A985374"/>
    <w:rsid w:val="5AC84640"/>
    <w:rsid w:val="5B10491B"/>
    <w:rsid w:val="5B1C04B7"/>
    <w:rsid w:val="5B594BDF"/>
    <w:rsid w:val="5B67293C"/>
    <w:rsid w:val="5BC1770A"/>
    <w:rsid w:val="5BD52F4B"/>
    <w:rsid w:val="5C1E1D99"/>
    <w:rsid w:val="5C48142B"/>
    <w:rsid w:val="5C5E0E8C"/>
    <w:rsid w:val="5C824D18"/>
    <w:rsid w:val="5CF03C4B"/>
    <w:rsid w:val="5DBF1EE1"/>
    <w:rsid w:val="5DCB486F"/>
    <w:rsid w:val="5DE51A21"/>
    <w:rsid w:val="5E5A6C63"/>
    <w:rsid w:val="5EA2502E"/>
    <w:rsid w:val="5EB027A5"/>
    <w:rsid w:val="5ECE5F09"/>
    <w:rsid w:val="5EF3424E"/>
    <w:rsid w:val="5EF65BE6"/>
    <w:rsid w:val="5F520416"/>
    <w:rsid w:val="5F636D4B"/>
    <w:rsid w:val="5FF75A67"/>
    <w:rsid w:val="609A0319"/>
    <w:rsid w:val="609B7413"/>
    <w:rsid w:val="60A43501"/>
    <w:rsid w:val="60AC0B70"/>
    <w:rsid w:val="60EB57EC"/>
    <w:rsid w:val="610E4EF3"/>
    <w:rsid w:val="61342421"/>
    <w:rsid w:val="619B4865"/>
    <w:rsid w:val="623931DF"/>
    <w:rsid w:val="62803AAB"/>
    <w:rsid w:val="62FA2958"/>
    <w:rsid w:val="634C1A77"/>
    <w:rsid w:val="63647DB9"/>
    <w:rsid w:val="637C576C"/>
    <w:rsid w:val="639A23F6"/>
    <w:rsid w:val="63BC5735"/>
    <w:rsid w:val="640259CE"/>
    <w:rsid w:val="642D57E6"/>
    <w:rsid w:val="64617F46"/>
    <w:rsid w:val="65362C76"/>
    <w:rsid w:val="65F94CB9"/>
    <w:rsid w:val="661A28ED"/>
    <w:rsid w:val="675454F2"/>
    <w:rsid w:val="67B71265"/>
    <w:rsid w:val="67CA0752"/>
    <w:rsid w:val="688A2E32"/>
    <w:rsid w:val="6993314E"/>
    <w:rsid w:val="69F720E4"/>
    <w:rsid w:val="6A442FBD"/>
    <w:rsid w:val="6AE30D66"/>
    <w:rsid w:val="6BFF74D5"/>
    <w:rsid w:val="6C252800"/>
    <w:rsid w:val="6CC84C24"/>
    <w:rsid w:val="6CF86C3E"/>
    <w:rsid w:val="6D31535F"/>
    <w:rsid w:val="6D42284E"/>
    <w:rsid w:val="6D524684"/>
    <w:rsid w:val="6D8C1501"/>
    <w:rsid w:val="6E3E660A"/>
    <w:rsid w:val="6E5D1A99"/>
    <w:rsid w:val="6E5F0718"/>
    <w:rsid w:val="6F7B7AD6"/>
    <w:rsid w:val="6F92352B"/>
    <w:rsid w:val="6FC1378E"/>
    <w:rsid w:val="70230478"/>
    <w:rsid w:val="702E5BFE"/>
    <w:rsid w:val="704065EA"/>
    <w:rsid w:val="70832C98"/>
    <w:rsid w:val="709A3939"/>
    <w:rsid w:val="71117BB3"/>
    <w:rsid w:val="712B0162"/>
    <w:rsid w:val="71352AEB"/>
    <w:rsid w:val="713D0D36"/>
    <w:rsid w:val="71C22192"/>
    <w:rsid w:val="723A078F"/>
    <w:rsid w:val="72707695"/>
    <w:rsid w:val="72E1027F"/>
    <w:rsid w:val="732C080F"/>
    <w:rsid w:val="738417E2"/>
    <w:rsid w:val="73BB3104"/>
    <w:rsid w:val="744026E6"/>
    <w:rsid w:val="74C22D11"/>
    <w:rsid w:val="75104AF8"/>
    <w:rsid w:val="75371AAF"/>
    <w:rsid w:val="75E90F54"/>
    <w:rsid w:val="75EE2704"/>
    <w:rsid w:val="76D014C1"/>
    <w:rsid w:val="76E05FD5"/>
    <w:rsid w:val="76EB228A"/>
    <w:rsid w:val="77631423"/>
    <w:rsid w:val="777504D5"/>
    <w:rsid w:val="77790C26"/>
    <w:rsid w:val="778710F1"/>
    <w:rsid w:val="78060FB9"/>
    <w:rsid w:val="78AC16A3"/>
    <w:rsid w:val="791C36F8"/>
    <w:rsid w:val="79865DC4"/>
    <w:rsid w:val="79AB7861"/>
    <w:rsid w:val="79D44C66"/>
    <w:rsid w:val="79D758B7"/>
    <w:rsid w:val="7B043151"/>
    <w:rsid w:val="7B5223D7"/>
    <w:rsid w:val="7BBD7DA4"/>
    <w:rsid w:val="7BD77EDE"/>
    <w:rsid w:val="7BE226C3"/>
    <w:rsid w:val="7BEC3F2B"/>
    <w:rsid w:val="7BF902DE"/>
    <w:rsid w:val="7C31086D"/>
    <w:rsid w:val="7C394457"/>
    <w:rsid w:val="7C4D48D2"/>
    <w:rsid w:val="7C4E2AAA"/>
    <w:rsid w:val="7CD44B80"/>
    <w:rsid w:val="7CFC1341"/>
    <w:rsid w:val="7D2A758A"/>
    <w:rsid w:val="7D4B685C"/>
    <w:rsid w:val="7DBC1B5A"/>
    <w:rsid w:val="7DF4058D"/>
    <w:rsid w:val="7DF5646B"/>
    <w:rsid w:val="7DFC3DAC"/>
    <w:rsid w:val="7E793D4A"/>
    <w:rsid w:val="7F7944DE"/>
    <w:rsid w:val="7F995ACE"/>
    <w:rsid w:val="7FB90F3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link w:val="12"/>
    <w:uiPriority w:val="0"/>
    <w:rPr>
      <w:rFonts w:eastAsia="宋体"/>
      <w:sz w:val="21"/>
      <w:szCs w:val="20"/>
    </w:rPr>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Body Text Indent"/>
    <w:basedOn w:val="1"/>
    <w:next w:val="4"/>
    <w:uiPriority w:val="0"/>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iPriority w:val="0"/>
    <w:pPr>
      <w:ind w:firstLine="420" w:firstLineChars="200"/>
    </w:pPr>
  </w:style>
  <w:style w:type="paragraph" w:styleId="5">
    <w:name w:val="Balloon Text"/>
    <w:basedOn w:val="1"/>
    <w:link w:val="14"/>
    <w:uiPriority w:val="0"/>
    <w:rPr>
      <w:sz w:val="18"/>
      <w:szCs w:val="18"/>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8">
    <w:name w:val="footnote text"/>
    <w:basedOn w:val="1"/>
    <w:next w:val="4"/>
    <w:qFormat/>
    <w:uiPriority w:val="0"/>
    <w:pPr>
      <w:snapToGrid w:val="0"/>
      <w:jc w:val="left"/>
    </w:pPr>
    <w:rPr>
      <w:sz w:val="18"/>
      <w:szCs w:val="18"/>
    </w:rPr>
  </w:style>
  <w:style w:type="paragraph" w:styleId="9">
    <w:name w:val="Body Text First Indent"/>
    <w:basedOn w:val="2"/>
    <w:qFormat/>
    <w:uiPriority w:val="0"/>
    <w:pPr>
      <w:ind w:firstLine="420" w:firstLineChars="100"/>
    </w:pPr>
  </w:style>
  <w:style w:type="paragraph" w:customStyle="1" w:styleId="12">
    <w:name w:val=" Char"/>
    <w:basedOn w:val="1"/>
    <w:link w:val="11"/>
    <w:qFormat/>
    <w:uiPriority w:val="0"/>
    <w:pPr>
      <w:widowControl/>
      <w:spacing w:after="160" w:line="240" w:lineRule="exact"/>
      <w:jc w:val="left"/>
    </w:pPr>
    <w:rPr>
      <w:rFonts w:eastAsia="宋体"/>
      <w:sz w:val="21"/>
      <w:szCs w:val="20"/>
    </w:rPr>
  </w:style>
  <w:style w:type="character" w:styleId="13">
    <w:name w:val="page number"/>
    <w:basedOn w:val="11"/>
    <w:qFormat/>
    <w:uiPriority w:val="0"/>
  </w:style>
  <w:style w:type="character" w:customStyle="1" w:styleId="14">
    <w:name w:val="批注框文本 字符"/>
    <w:link w:val="5"/>
    <w:qFormat/>
    <w:uiPriority w:val="0"/>
    <w:rPr>
      <w:rFonts w:eastAsia="宋体"/>
      <w:kern w:val="2"/>
      <w:sz w:val="18"/>
      <w:szCs w:val="18"/>
    </w:rPr>
  </w:style>
  <w:style w:type="character" w:customStyle="1" w:styleId="15">
    <w:name w:val="页码 New New New"/>
    <w:basedOn w:val="11"/>
    <w:qFormat/>
    <w:uiPriority w:val="0"/>
  </w:style>
  <w:style w:type="character" w:customStyle="1" w:styleId="16">
    <w:name w:val="页码 New New"/>
    <w:basedOn w:val="11"/>
    <w:qFormat/>
    <w:uiPriority w:val="0"/>
  </w:style>
  <w:style w:type="character" w:customStyle="1" w:styleId="17">
    <w:name w:val="页码 New"/>
    <w:basedOn w:val="11"/>
    <w:qFormat/>
    <w:uiPriority w:val="0"/>
  </w:style>
  <w:style w:type="character" w:customStyle="1" w:styleId="18">
    <w:name w:val="页码 New New New New New"/>
    <w:basedOn w:val="11"/>
    <w:qFormat/>
    <w:uiPriority w:val="0"/>
  </w:style>
  <w:style w:type="character" w:customStyle="1" w:styleId="19">
    <w:name w:val="font41"/>
    <w:qFormat/>
    <w:uiPriority w:val="0"/>
    <w:rPr>
      <w:rFonts w:hint="eastAsia" w:ascii="宋体" w:hAnsi="宋体" w:eastAsia="宋体" w:cs="宋体"/>
      <w:color w:val="000000"/>
      <w:sz w:val="20"/>
      <w:szCs w:val="20"/>
      <w:u w:val="none"/>
    </w:rPr>
  </w:style>
  <w:style w:type="character" w:customStyle="1" w:styleId="20">
    <w:name w:val="页码 New New New New New New"/>
    <w:basedOn w:val="11"/>
    <w:qFormat/>
    <w:uiPriority w:val="0"/>
  </w:style>
  <w:style w:type="character" w:customStyle="1" w:styleId="21">
    <w:name w:val="页码 New New New New"/>
    <w:basedOn w:val="11"/>
    <w:qFormat/>
    <w:uiPriority w:val="0"/>
  </w:style>
  <w:style w:type="paragraph" w:customStyle="1" w:styleId="22">
    <w:name w:val="页眉 New New New New New New New New"/>
    <w:basedOn w:val="23"/>
    <w:qFormat/>
    <w:uiPriority w:val="0"/>
    <w:pPr>
      <w:pBdr>
        <w:bottom w:val="single" w:color="auto" w:sz="6" w:space="1"/>
      </w:pBdr>
      <w:tabs>
        <w:tab w:val="center" w:pos="4153"/>
        <w:tab w:val="right" w:pos="8306"/>
      </w:tabs>
      <w:snapToGrid w:val="0"/>
      <w:jc w:val="center"/>
    </w:pPr>
    <w:rPr>
      <w:sz w:val="18"/>
      <w:szCs w:val="18"/>
    </w:rPr>
  </w:style>
  <w:style w:type="paragraph" w:customStyle="1" w:styleId="23">
    <w:name w:val="正文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24">
    <w:name w:val="页眉 New New New New New New New New New New New New New New New New New New New New New New"/>
    <w:basedOn w:val="25"/>
    <w:qFormat/>
    <w:uiPriority w:val="0"/>
    <w:pPr>
      <w:pBdr>
        <w:bottom w:val="single" w:color="auto" w:sz="6" w:space="1"/>
      </w:pBdr>
      <w:tabs>
        <w:tab w:val="center" w:pos="4153"/>
        <w:tab w:val="right" w:pos="8306"/>
      </w:tabs>
      <w:snapToGrid w:val="0"/>
      <w:jc w:val="center"/>
    </w:pPr>
    <w:rPr>
      <w:sz w:val="18"/>
      <w:szCs w:val="18"/>
    </w:rPr>
  </w:style>
  <w:style w:type="paragraph" w:customStyle="1" w:styleId="25">
    <w:name w:val="正文 New New New New New New New New New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26">
    <w:name w:val="页脚 New New New New New New New New New New New New New New New New New New New New New New New New New New"/>
    <w:basedOn w:val="27"/>
    <w:qFormat/>
    <w:uiPriority w:val="0"/>
    <w:pPr>
      <w:tabs>
        <w:tab w:val="center" w:pos="4153"/>
        <w:tab w:val="right" w:pos="8306"/>
      </w:tabs>
      <w:snapToGrid w:val="0"/>
      <w:jc w:val="left"/>
    </w:pPr>
    <w:rPr>
      <w:sz w:val="18"/>
      <w:szCs w:val="18"/>
    </w:rPr>
  </w:style>
  <w:style w:type="paragraph" w:customStyle="1" w:styleId="27">
    <w:name w:val="正文 New New New New New New New New New New New New New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28">
    <w:name w:val="页眉 New New New"/>
    <w:basedOn w:val="29"/>
    <w:qFormat/>
    <w:uiPriority w:val="0"/>
    <w:pPr>
      <w:pBdr>
        <w:bottom w:val="single" w:color="auto" w:sz="6" w:space="1"/>
      </w:pBdr>
      <w:tabs>
        <w:tab w:val="center" w:pos="4153"/>
        <w:tab w:val="right" w:pos="8306"/>
      </w:tabs>
      <w:snapToGrid w:val="0"/>
      <w:jc w:val="center"/>
    </w:pPr>
    <w:rPr>
      <w:sz w:val="18"/>
      <w:szCs w:val="18"/>
    </w:rPr>
  </w:style>
  <w:style w:type="paragraph" w:customStyle="1" w:styleId="29">
    <w:name w:val="正文 New New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30">
    <w:name w:val="正文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31">
    <w:name w:val="页眉 New New New New New New New New New New New New"/>
    <w:basedOn w:val="32"/>
    <w:qFormat/>
    <w:uiPriority w:val="0"/>
    <w:pPr>
      <w:pBdr>
        <w:bottom w:val="single" w:color="auto" w:sz="6" w:space="1"/>
      </w:pBdr>
      <w:tabs>
        <w:tab w:val="center" w:pos="4153"/>
        <w:tab w:val="right" w:pos="8306"/>
      </w:tabs>
      <w:snapToGrid w:val="0"/>
      <w:jc w:val="center"/>
    </w:pPr>
    <w:rPr>
      <w:sz w:val="18"/>
      <w:szCs w:val="18"/>
    </w:rPr>
  </w:style>
  <w:style w:type="paragraph" w:customStyle="1" w:styleId="32">
    <w:name w:val="正文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33">
    <w:name w:val="页脚 New New New New New New New New New New New New New New New New New New New New"/>
    <w:basedOn w:val="34"/>
    <w:qFormat/>
    <w:uiPriority w:val="0"/>
    <w:pPr>
      <w:tabs>
        <w:tab w:val="center" w:pos="4153"/>
        <w:tab w:val="right" w:pos="8306"/>
      </w:tabs>
      <w:snapToGrid w:val="0"/>
      <w:jc w:val="left"/>
    </w:pPr>
    <w:rPr>
      <w:sz w:val="18"/>
      <w:szCs w:val="18"/>
    </w:rPr>
  </w:style>
  <w:style w:type="paragraph" w:customStyle="1" w:styleId="34">
    <w:name w:val="正文 New New New New New New New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35">
    <w:name w:val="页眉 New New New New New New New New New New New New New New New New New New New New New New New New"/>
    <w:basedOn w:val="36"/>
    <w:qFormat/>
    <w:uiPriority w:val="0"/>
    <w:pPr>
      <w:pBdr>
        <w:bottom w:val="single" w:color="auto" w:sz="6" w:space="1"/>
      </w:pBdr>
      <w:tabs>
        <w:tab w:val="center" w:pos="4153"/>
        <w:tab w:val="right" w:pos="8306"/>
      </w:tabs>
      <w:snapToGrid w:val="0"/>
      <w:jc w:val="center"/>
    </w:pPr>
    <w:rPr>
      <w:sz w:val="18"/>
      <w:szCs w:val="18"/>
    </w:rPr>
  </w:style>
  <w:style w:type="paragraph" w:customStyle="1" w:styleId="36">
    <w:name w:val="正文 New New New New New New New New New New New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37">
    <w:name w:val="页眉 New New New New"/>
    <w:basedOn w:val="38"/>
    <w:qFormat/>
    <w:uiPriority w:val="0"/>
    <w:pPr>
      <w:pBdr>
        <w:bottom w:val="single" w:color="auto" w:sz="6" w:space="1"/>
      </w:pBdr>
      <w:tabs>
        <w:tab w:val="center" w:pos="4153"/>
        <w:tab w:val="right" w:pos="8306"/>
      </w:tabs>
      <w:snapToGrid w:val="0"/>
      <w:jc w:val="center"/>
    </w:pPr>
    <w:rPr>
      <w:sz w:val="18"/>
      <w:szCs w:val="18"/>
    </w:rPr>
  </w:style>
  <w:style w:type="paragraph" w:customStyle="1" w:styleId="38">
    <w:name w:val="正文 New New New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39">
    <w:name w:val="页眉 New New New New New New New New New New New New New New New New New"/>
    <w:basedOn w:val="40"/>
    <w:qFormat/>
    <w:uiPriority w:val="0"/>
    <w:pPr>
      <w:pBdr>
        <w:bottom w:val="single" w:color="auto" w:sz="6" w:space="1"/>
      </w:pBdr>
      <w:tabs>
        <w:tab w:val="center" w:pos="4153"/>
        <w:tab w:val="right" w:pos="8306"/>
      </w:tabs>
      <w:snapToGrid w:val="0"/>
      <w:jc w:val="center"/>
    </w:pPr>
    <w:rPr>
      <w:sz w:val="18"/>
      <w:szCs w:val="18"/>
    </w:rPr>
  </w:style>
  <w:style w:type="paragraph" w:customStyle="1" w:styleId="40">
    <w:name w:val="正文 New New New New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41">
    <w:name w:val="页眉 New New New New New New New New New New New New New New New New New New New New New New New"/>
    <w:basedOn w:val="42"/>
    <w:qFormat/>
    <w:uiPriority w:val="0"/>
    <w:pPr>
      <w:pBdr>
        <w:bottom w:val="single" w:color="auto" w:sz="6" w:space="1"/>
      </w:pBdr>
      <w:tabs>
        <w:tab w:val="center" w:pos="4153"/>
        <w:tab w:val="right" w:pos="8306"/>
      </w:tabs>
      <w:snapToGrid w:val="0"/>
      <w:jc w:val="center"/>
    </w:pPr>
    <w:rPr>
      <w:sz w:val="18"/>
      <w:szCs w:val="18"/>
    </w:rPr>
  </w:style>
  <w:style w:type="paragraph" w:customStyle="1" w:styleId="42">
    <w:name w:val="正文 New New New New New New New New New New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43">
    <w:name w:val="页眉 New New New New New New New New New New New New New New"/>
    <w:basedOn w:val="44"/>
    <w:qFormat/>
    <w:uiPriority w:val="0"/>
    <w:pPr>
      <w:pBdr>
        <w:bottom w:val="single" w:color="auto" w:sz="6" w:space="1"/>
      </w:pBdr>
      <w:tabs>
        <w:tab w:val="center" w:pos="4153"/>
        <w:tab w:val="right" w:pos="8306"/>
      </w:tabs>
      <w:snapToGrid w:val="0"/>
      <w:jc w:val="center"/>
    </w:pPr>
    <w:rPr>
      <w:sz w:val="18"/>
      <w:szCs w:val="18"/>
    </w:rPr>
  </w:style>
  <w:style w:type="paragraph" w:customStyle="1" w:styleId="44">
    <w:name w:val="正文 New New New New New New New New New New New New New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45">
    <w:name w:val="正文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46">
    <w:name w:val="页脚 New New New New New New New New New New New New New New New New New New New New New New"/>
    <w:basedOn w:val="25"/>
    <w:qFormat/>
    <w:uiPriority w:val="0"/>
    <w:pPr>
      <w:tabs>
        <w:tab w:val="center" w:pos="4153"/>
        <w:tab w:val="right" w:pos="8306"/>
      </w:tabs>
      <w:snapToGrid w:val="0"/>
      <w:jc w:val="left"/>
    </w:pPr>
    <w:rPr>
      <w:sz w:val="18"/>
      <w:szCs w:val="18"/>
    </w:rPr>
  </w:style>
  <w:style w:type="paragraph" w:customStyle="1" w:styleId="47">
    <w:name w:val="正文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48">
    <w:name w:val="页脚 New New New New New New New New New New New New New New New New New New New New New New New New New"/>
    <w:basedOn w:val="49"/>
    <w:qFormat/>
    <w:uiPriority w:val="0"/>
    <w:pPr>
      <w:tabs>
        <w:tab w:val="center" w:pos="4153"/>
        <w:tab w:val="right" w:pos="8306"/>
      </w:tabs>
      <w:snapToGrid w:val="0"/>
      <w:jc w:val="left"/>
    </w:pPr>
    <w:rPr>
      <w:rFonts w:eastAsia="仿宋_GB2312"/>
      <w:kern w:val="2"/>
      <w:sz w:val="18"/>
    </w:rPr>
  </w:style>
  <w:style w:type="paragraph" w:customStyle="1" w:styleId="49">
    <w:name w:val="正文 New New New New New New New New New New New New New New New New New New New New New New New New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50">
    <w:name w:val="页脚 New New New New New New New New New New New New New New New New New New"/>
    <w:basedOn w:val="51"/>
    <w:qFormat/>
    <w:uiPriority w:val="0"/>
    <w:pPr>
      <w:tabs>
        <w:tab w:val="center" w:pos="4153"/>
        <w:tab w:val="right" w:pos="8306"/>
      </w:tabs>
      <w:snapToGrid w:val="0"/>
      <w:jc w:val="left"/>
    </w:pPr>
    <w:rPr>
      <w:sz w:val="18"/>
      <w:szCs w:val="18"/>
    </w:rPr>
  </w:style>
  <w:style w:type="paragraph" w:customStyle="1" w:styleId="51">
    <w:name w:val="正文 New New New New New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52">
    <w:name w:val="正文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53">
    <w:name w:val="页脚 New New New New New New New New New New New New New"/>
    <w:basedOn w:val="54"/>
    <w:qFormat/>
    <w:uiPriority w:val="0"/>
    <w:pPr>
      <w:tabs>
        <w:tab w:val="center" w:pos="4153"/>
        <w:tab w:val="right" w:pos="8306"/>
      </w:tabs>
      <w:snapToGrid w:val="0"/>
      <w:jc w:val="left"/>
    </w:pPr>
    <w:rPr>
      <w:sz w:val="18"/>
      <w:szCs w:val="18"/>
    </w:rPr>
  </w:style>
  <w:style w:type="paragraph" w:customStyle="1" w:styleId="54">
    <w:name w:val="正文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55">
    <w:name w:val="p0"/>
    <w:basedOn w:val="38"/>
    <w:qFormat/>
    <w:uiPriority w:val="0"/>
    <w:pPr>
      <w:widowControl/>
    </w:pPr>
    <w:rPr>
      <w:rFonts w:eastAsia="宋体"/>
      <w:kern w:val="0"/>
      <w:szCs w:val="32"/>
    </w:rPr>
  </w:style>
  <w:style w:type="paragraph" w:customStyle="1" w:styleId="56">
    <w:name w:val="页眉 New New New New New New New New New New New New New New New"/>
    <w:basedOn w:val="57"/>
    <w:qFormat/>
    <w:uiPriority w:val="0"/>
    <w:pPr>
      <w:pBdr>
        <w:bottom w:val="single" w:color="auto" w:sz="6" w:space="1"/>
      </w:pBdr>
      <w:tabs>
        <w:tab w:val="center" w:pos="4153"/>
        <w:tab w:val="right" w:pos="8306"/>
      </w:tabs>
      <w:snapToGrid w:val="0"/>
      <w:jc w:val="center"/>
    </w:pPr>
    <w:rPr>
      <w:sz w:val="18"/>
      <w:szCs w:val="18"/>
    </w:rPr>
  </w:style>
  <w:style w:type="paragraph" w:customStyle="1" w:styleId="57">
    <w:name w:val="正文 New New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58">
    <w:name w:val="页眉 New New New New New New New New New"/>
    <w:basedOn w:val="45"/>
    <w:qFormat/>
    <w:uiPriority w:val="0"/>
    <w:pPr>
      <w:pBdr>
        <w:bottom w:val="single" w:color="auto" w:sz="6" w:space="1"/>
      </w:pBdr>
      <w:tabs>
        <w:tab w:val="center" w:pos="4153"/>
        <w:tab w:val="right" w:pos="8306"/>
      </w:tabs>
      <w:snapToGrid w:val="0"/>
      <w:jc w:val="center"/>
    </w:pPr>
    <w:rPr>
      <w:sz w:val="18"/>
      <w:szCs w:val="18"/>
    </w:rPr>
  </w:style>
  <w:style w:type="paragraph" w:customStyle="1" w:styleId="59">
    <w:name w:val="页脚 New New New New New New New New New New New New"/>
    <w:basedOn w:val="32"/>
    <w:qFormat/>
    <w:uiPriority w:val="0"/>
    <w:pPr>
      <w:tabs>
        <w:tab w:val="center" w:pos="4153"/>
        <w:tab w:val="right" w:pos="8306"/>
      </w:tabs>
      <w:snapToGrid w:val="0"/>
      <w:jc w:val="left"/>
    </w:pPr>
    <w:rPr>
      <w:sz w:val="18"/>
      <w:szCs w:val="18"/>
    </w:rPr>
  </w:style>
  <w:style w:type="paragraph" w:customStyle="1" w:styleId="60">
    <w:name w:val="页脚 New New New New New"/>
    <w:basedOn w:val="61"/>
    <w:qFormat/>
    <w:uiPriority w:val="0"/>
    <w:pPr>
      <w:tabs>
        <w:tab w:val="center" w:pos="4153"/>
        <w:tab w:val="right" w:pos="8306"/>
      </w:tabs>
      <w:snapToGrid w:val="0"/>
      <w:jc w:val="left"/>
    </w:pPr>
    <w:rPr>
      <w:sz w:val="18"/>
      <w:szCs w:val="18"/>
    </w:rPr>
  </w:style>
  <w:style w:type="paragraph" w:customStyle="1" w:styleId="61">
    <w:name w:val="正文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62">
    <w:name w:val="页眉 New New New New New New New New New New New New New New New New New New New New New"/>
    <w:basedOn w:val="63"/>
    <w:qFormat/>
    <w:uiPriority w:val="0"/>
    <w:pPr>
      <w:pBdr>
        <w:bottom w:val="single" w:color="auto" w:sz="6" w:space="1"/>
      </w:pBdr>
      <w:tabs>
        <w:tab w:val="center" w:pos="4153"/>
        <w:tab w:val="right" w:pos="8306"/>
      </w:tabs>
      <w:snapToGrid w:val="0"/>
      <w:jc w:val="center"/>
    </w:pPr>
    <w:rPr>
      <w:sz w:val="18"/>
      <w:szCs w:val="18"/>
    </w:rPr>
  </w:style>
  <w:style w:type="paragraph" w:customStyle="1" w:styleId="63">
    <w:name w:val="正文 New New New New New New New New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64">
    <w:name w:val="页眉 New New New New New New New New New New New New New"/>
    <w:basedOn w:val="54"/>
    <w:qFormat/>
    <w:uiPriority w:val="0"/>
    <w:pPr>
      <w:pBdr>
        <w:bottom w:val="single" w:color="auto" w:sz="6" w:space="1"/>
      </w:pBdr>
      <w:tabs>
        <w:tab w:val="center" w:pos="4153"/>
        <w:tab w:val="right" w:pos="8306"/>
      </w:tabs>
      <w:snapToGrid w:val="0"/>
      <w:jc w:val="center"/>
    </w:pPr>
    <w:rPr>
      <w:sz w:val="18"/>
      <w:szCs w:val="18"/>
    </w:rPr>
  </w:style>
  <w:style w:type="paragraph" w:customStyle="1" w:styleId="65">
    <w:name w:val="页眉 New New New New New"/>
    <w:basedOn w:val="61"/>
    <w:qFormat/>
    <w:uiPriority w:val="0"/>
    <w:pPr>
      <w:pBdr>
        <w:bottom w:val="single" w:color="auto" w:sz="6" w:space="1"/>
      </w:pBdr>
      <w:tabs>
        <w:tab w:val="center" w:pos="4153"/>
        <w:tab w:val="right" w:pos="8306"/>
      </w:tabs>
      <w:snapToGrid w:val="0"/>
      <w:jc w:val="center"/>
    </w:pPr>
    <w:rPr>
      <w:sz w:val="18"/>
      <w:szCs w:val="18"/>
    </w:rPr>
  </w:style>
  <w:style w:type="paragraph" w:customStyle="1" w:styleId="66">
    <w:name w:val="页眉 New New New New New New New New New New New New New New New New New New New New New New New New New New"/>
    <w:basedOn w:val="27"/>
    <w:qFormat/>
    <w:uiPriority w:val="0"/>
    <w:pPr>
      <w:pBdr>
        <w:bottom w:val="single" w:color="auto" w:sz="6" w:space="1"/>
      </w:pBdr>
      <w:tabs>
        <w:tab w:val="center" w:pos="4153"/>
        <w:tab w:val="right" w:pos="8306"/>
      </w:tabs>
      <w:snapToGrid w:val="0"/>
      <w:jc w:val="center"/>
    </w:pPr>
    <w:rPr>
      <w:sz w:val="18"/>
      <w:szCs w:val="18"/>
    </w:rPr>
  </w:style>
  <w:style w:type="paragraph" w:customStyle="1" w:styleId="67">
    <w:name w:val="正文 New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68">
    <w:name w:val="正文 New New New New New New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69">
    <w:name w:val="页眉 New New New New New New New New New New New New New New New New New New"/>
    <w:basedOn w:val="51"/>
    <w:qFormat/>
    <w:uiPriority w:val="0"/>
    <w:pPr>
      <w:pBdr>
        <w:bottom w:val="single" w:color="auto" w:sz="6" w:space="1"/>
      </w:pBdr>
      <w:tabs>
        <w:tab w:val="center" w:pos="4153"/>
        <w:tab w:val="right" w:pos="8306"/>
      </w:tabs>
      <w:snapToGrid w:val="0"/>
      <w:jc w:val="center"/>
    </w:pPr>
    <w:rPr>
      <w:sz w:val="18"/>
      <w:szCs w:val="18"/>
    </w:rPr>
  </w:style>
  <w:style w:type="paragraph" w:customStyle="1" w:styleId="70">
    <w:name w:val="页眉 New New New New New New"/>
    <w:basedOn w:val="47"/>
    <w:qFormat/>
    <w:uiPriority w:val="0"/>
    <w:pPr>
      <w:pBdr>
        <w:bottom w:val="single" w:color="auto" w:sz="6" w:space="1"/>
      </w:pBdr>
      <w:tabs>
        <w:tab w:val="center" w:pos="4153"/>
        <w:tab w:val="right" w:pos="8306"/>
      </w:tabs>
      <w:snapToGrid w:val="0"/>
      <w:jc w:val="center"/>
    </w:pPr>
    <w:rPr>
      <w:sz w:val="18"/>
      <w:szCs w:val="18"/>
    </w:rPr>
  </w:style>
  <w:style w:type="paragraph" w:customStyle="1" w:styleId="71">
    <w:name w:val="页眉 New New New New New New New New New New New New New New New New New New New"/>
    <w:basedOn w:val="68"/>
    <w:qFormat/>
    <w:uiPriority w:val="0"/>
    <w:pPr>
      <w:pBdr>
        <w:bottom w:val="single" w:color="auto" w:sz="6" w:space="1"/>
      </w:pBdr>
      <w:tabs>
        <w:tab w:val="center" w:pos="4153"/>
        <w:tab w:val="right" w:pos="8306"/>
      </w:tabs>
      <w:snapToGrid w:val="0"/>
      <w:jc w:val="center"/>
    </w:pPr>
    <w:rPr>
      <w:sz w:val="18"/>
      <w:szCs w:val="18"/>
    </w:rPr>
  </w:style>
  <w:style w:type="paragraph" w:customStyle="1" w:styleId="72">
    <w:name w:val="正文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73">
    <w:name w:val="页脚 New New New New New New New"/>
    <w:basedOn w:val="52"/>
    <w:qFormat/>
    <w:uiPriority w:val="0"/>
    <w:pPr>
      <w:tabs>
        <w:tab w:val="center" w:pos="4153"/>
        <w:tab w:val="right" w:pos="8306"/>
      </w:tabs>
      <w:snapToGrid w:val="0"/>
      <w:jc w:val="left"/>
    </w:pPr>
    <w:rPr>
      <w:sz w:val="18"/>
      <w:szCs w:val="18"/>
    </w:rPr>
  </w:style>
  <w:style w:type="paragraph" w:customStyle="1" w:styleId="74">
    <w:name w:val="页脚 New"/>
    <w:basedOn w:val="30"/>
    <w:qFormat/>
    <w:uiPriority w:val="0"/>
    <w:pPr>
      <w:tabs>
        <w:tab w:val="center" w:pos="4153"/>
        <w:tab w:val="right" w:pos="8306"/>
      </w:tabs>
      <w:snapToGrid w:val="0"/>
      <w:jc w:val="left"/>
    </w:pPr>
    <w:rPr>
      <w:rFonts w:eastAsia="仿宋_GB2312"/>
      <w:kern w:val="2"/>
      <w:sz w:val="18"/>
    </w:rPr>
  </w:style>
  <w:style w:type="paragraph" w:customStyle="1" w:styleId="75">
    <w:name w:val="页脚 New New New New"/>
    <w:basedOn w:val="38"/>
    <w:qFormat/>
    <w:uiPriority w:val="0"/>
    <w:pPr>
      <w:tabs>
        <w:tab w:val="center" w:pos="4153"/>
        <w:tab w:val="right" w:pos="8306"/>
      </w:tabs>
      <w:snapToGrid w:val="0"/>
      <w:jc w:val="left"/>
    </w:pPr>
    <w:rPr>
      <w:rFonts w:eastAsia="仿宋_GB2312"/>
      <w:kern w:val="2"/>
      <w:sz w:val="18"/>
    </w:rPr>
  </w:style>
  <w:style w:type="paragraph" w:customStyle="1" w:styleId="76">
    <w:name w:val="页眉 New"/>
    <w:basedOn w:val="30"/>
    <w:qFormat/>
    <w:uiPriority w:val="0"/>
    <w:pPr>
      <w:pBdr>
        <w:bottom w:val="single" w:color="auto" w:sz="6" w:space="1"/>
      </w:pBdr>
      <w:tabs>
        <w:tab w:val="center" w:pos="4153"/>
        <w:tab w:val="right" w:pos="8306"/>
      </w:tabs>
      <w:snapToGrid w:val="0"/>
      <w:jc w:val="center"/>
    </w:pPr>
    <w:rPr>
      <w:sz w:val="18"/>
      <w:szCs w:val="18"/>
    </w:rPr>
  </w:style>
  <w:style w:type="paragraph" w:customStyle="1" w:styleId="77">
    <w:name w:val="页眉 New New New New New New New New New New"/>
    <w:basedOn w:val="72"/>
    <w:qFormat/>
    <w:uiPriority w:val="0"/>
    <w:pPr>
      <w:pBdr>
        <w:bottom w:val="single" w:color="auto" w:sz="6" w:space="1"/>
      </w:pBdr>
      <w:tabs>
        <w:tab w:val="center" w:pos="4153"/>
        <w:tab w:val="right" w:pos="8306"/>
      </w:tabs>
      <w:snapToGrid w:val="0"/>
      <w:jc w:val="center"/>
    </w:pPr>
    <w:rPr>
      <w:sz w:val="18"/>
      <w:szCs w:val="18"/>
    </w:rPr>
  </w:style>
  <w:style w:type="paragraph" w:customStyle="1" w:styleId="78">
    <w:name w:val="页脚 New New New New New New New New New New New New New New New New New New New"/>
    <w:basedOn w:val="68"/>
    <w:qFormat/>
    <w:uiPriority w:val="0"/>
    <w:pPr>
      <w:tabs>
        <w:tab w:val="center" w:pos="4153"/>
        <w:tab w:val="right" w:pos="8306"/>
      </w:tabs>
      <w:snapToGrid w:val="0"/>
      <w:jc w:val="left"/>
    </w:pPr>
    <w:rPr>
      <w:sz w:val="18"/>
      <w:szCs w:val="18"/>
    </w:rPr>
  </w:style>
  <w:style w:type="paragraph" w:customStyle="1" w:styleId="79">
    <w:name w:val="页眉 New New New New New New New New New New New New New New New New"/>
    <w:basedOn w:val="80"/>
    <w:qFormat/>
    <w:uiPriority w:val="0"/>
    <w:pPr>
      <w:pBdr>
        <w:bottom w:val="single" w:color="auto" w:sz="6" w:space="1"/>
      </w:pBdr>
      <w:tabs>
        <w:tab w:val="center" w:pos="4153"/>
        <w:tab w:val="right" w:pos="8306"/>
      </w:tabs>
      <w:snapToGrid w:val="0"/>
      <w:jc w:val="center"/>
    </w:pPr>
    <w:rPr>
      <w:sz w:val="18"/>
      <w:szCs w:val="18"/>
    </w:rPr>
  </w:style>
  <w:style w:type="paragraph" w:customStyle="1" w:styleId="80">
    <w:name w:val="正文 New New New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81">
    <w:name w:val="页脚 New New New New New New New New New New New New New New New New New New New New New New New New"/>
    <w:basedOn w:val="36"/>
    <w:qFormat/>
    <w:uiPriority w:val="0"/>
    <w:pPr>
      <w:tabs>
        <w:tab w:val="center" w:pos="4153"/>
        <w:tab w:val="right" w:pos="8306"/>
      </w:tabs>
      <w:snapToGrid w:val="0"/>
      <w:jc w:val="left"/>
    </w:pPr>
    <w:rPr>
      <w:sz w:val="18"/>
      <w:szCs w:val="18"/>
    </w:rPr>
  </w:style>
  <w:style w:type="paragraph" w:customStyle="1" w:styleId="82">
    <w:name w:val="页脚 New New New New New New New New New"/>
    <w:basedOn w:val="45"/>
    <w:qFormat/>
    <w:uiPriority w:val="0"/>
    <w:pPr>
      <w:tabs>
        <w:tab w:val="center" w:pos="4153"/>
        <w:tab w:val="right" w:pos="8306"/>
      </w:tabs>
      <w:snapToGrid w:val="0"/>
      <w:jc w:val="left"/>
    </w:pPr>
    <w:rPr>
      <w:sz w:val="18"/>
      <w:szCs w:val="18"/>
    </w:rPr>
  </w:style>
  <w:style w:type="paragraph" w:customStyle="1" w:styleId="83">
    <w:name w:val="页脚 New New New New New New New New"/>
    <w:basedOn w:val="23"/>
    <w:qFormat/>
    <w:uiPriority w:val="0"/>
    <w:pPr>
      <w:tabs>
        <w:tab w:val="center" w:pos="4153"/>
        <w:tab w:val="right" w:pos="8306"/>
      </w:tabs>
      <w:snapToGrid w:val="0"/>
      <w:jc w:val="left"/>
    </w:pPr>
    <w:rPr>
      <w:sz w:val="18"/>
      <w:szCs w:val="18"/>
    </w:rPr>
  </w:style>
  <w:style w:type="paragraph" w:customStyle="1" w:styleId="84">
    <w:name w:val="页脚 New New New New New New New New New New New New New New New New New"/>
    <w:basedOn w:val="40"/>
    <w:qFormat/>
    <w:uiPriority w:val="0"/>
    <w:pPr>
      <w:tabs>
        <w:tab w:val="center" w:pos="4153"/>
        <w:tab w:val="right" w:pos="8306"/>
      </w:tabs>
      <w:snapToGrid w:val="0"/>
      <w:jc w:val="left"/>
    </w:pPr>
    <w:rPr>
      <w:sz w:val="18"/>
      <w:szCs w:val="18"/>
    </w:rPr>
  </w:style>
  <w:style w:type="paragraph" w:customStyle="1" w:styleId="85">
    <w:name w:val="页脚 New New New New New New New New New New New New New New New New"/>
    <w:basedOn w:val="80"/>
    <w:qFormat/>
    <w:uiPriority w:val="0"/>
    <w:pPr>
      <w:tabs>
        <w:tab w:val="center" w:pos="4153"/>
        <w:tab w:val="right" w:pos="8306"/>
      </w:tabs>
      <w:snapToGrid w:val="0"/>
      <w:jc w:val="left"/>
    </w:pPr>
    <w:rPr>
      <w:sz w:val="18"/>
      <w:szCs w:val="18"/>
    </w:rPr>
  </w:style>
  <w:style w:type="paragraph" w:customStyle="1" w:styleId="86">
    <w:name w:val="页脚 New New New New New New New New New New New New New New New"/>
    <w:basedOn w:val="57"/>
    <w:qFormat/>
    <w:uiPriority w:val="0"/>
    <w:pPr>
      <w:tabs>
        <w:tab w:val="center" w:pos="4153"/>
        <w:tab w:val="right" w:pos="8306"/>
      </w:tabs>
      <w:snapToGrid w:val="0"/>
      <w:jc w:val="left"/>
    </w:pPr>
    <w:rPr>
      <w:sz w:val="18"/>
      <w:szCs w:val="18"/>
    </w:rPr>
  </w:style>
  <w:style w:type="paragraph" w:customStyle="1" w:styleId="87">
    <w:name w:val="页脚 New New"/>
    <w:basedOn w:val="67"/>
    <w:qFormat/>
    <w:uiPriority w:val="0"/>
    <w:pPr>
      <w:tabs>
        <w:tab w:val="center" w:pos="4153"/>
        <w:tab w:val="right" w:pos="8306"/>
      </w:tabs>
      <w:snapToGrid w:val="0"/>
      <w:jc w:val="left"/>
    </w:pPr>
    <w:rPr>
      <w:rFonts w:eastAsia="仿宋_GB2312"/>
      <w:kern w:val="2"/>
      <w:sz w:val="18"/>
    </w:rPr>
  </w:style>
  <w:style w:type="paragraph" w:customStyle="1" w:styleId="88">
    <w:name w:val="页脚 New New New New New New New New New New New New New New New New New New New New New New New"/>
    <w:basedOn w:val="42"/>
    <w:qFormat/>
    <w:uiPriority w:val="0"/>
    <w:pPr>
      <w:tabs>
        <w:tab w:val="center" w:pos="4153"/>
        <w:tab w:val="right" w:pos="8306"/>
      </w:tabs>
      <w:snapToGrid w:val="0"/>
      <w:jc w:val="left"/>
    </w:pPr>
    <w:rPr>
      <w:sz w:val="18"/>
      <w:szCs w:val="18"/>
    </w:rPr>
  </w:style>
  <w:style w:type="paragraph" w:customStyle="1" w:styleId="89">
    <w:name w:val="正文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90">
    <w:name w:val="页脚 New New New New New New New New New New New New New New New New New New New New New"/>
    <w:basedOn w:val="63"/>
    <w:qFormat/>
    <w:uiPriority w:val="0"/>
    <w:pPr>
      <w:tabs>
        <w:tab w:val="center" w:pos="4153"/>
        <w:tab w:val="right" w:pos="8306"/>
      </w:tabs>
      <w:snapToGrid w:val="0"/>
      <w:jc w:val="left"/>
    </w:pPr>
    <w:rPr>
      <w:sz w:val="18"/>
      <w:szCs w:val="18"/>
    </w:rPr>
  </w:style>
  <w:style w:type="paragraph" w:customStyle="1" w:styleId="91">
    <w:name w:val="页脚 New New New New New New New New New New New New New New"/>
    <w:basedOn w:val="44"/>
    <w:qFormat/>
    <w:uiPriority w:val="0"/>
    <w:pPr>
      <w:tabs>
        <w:tab w:val="center" w:pos="4153"/>
        <w:tab w:val="right" w:pos="8306"/>
      </w:tabs>
      <w:snapToGrid w:val="0"/>
      <w:jc w:val="left"/>
    </w:pPr>
    <w:rPr>
      <w:rFonts w:eastAsia="仿宋_GB2312"/>
      <w:kern w:val="2"/>
      <w:sz w:val="18"/>
    </w:rPr>
  </w:style>
  <w:style w:type="paragraph" w:customStyle="1" w:styleId="92">
    <w:name w:val="页眉 New New New New New New New New New New New New New New New New New New New New"/>
    <w:basedOn w:val="34"/>
    <w:qFormat/>
    <w:uiPriority w:val="0"/>
    <w:pPr>
      <w:pBdr>
        <w:bottom w:val="single" w:color="auto" w:sz="6" w:space="1"/>
      </w:pBdr>
      <w:tabs>
        <w:tab w:val="center" w:pos="4153"/>
        <w:tab w:val="right" w:pos="8306"/>
      </w:tabs>
      <w:snapToGrid w:val="0"/>
      <w:jc w:val="center"/>
    </w:pPr>
    <w:rPr>
      <w:sz w:val="18"/>
      <w:szCs w:val="18"/>
    </w:rPr>
  </w:style>
  <w:style w:type="paragraph" w:customStyle="1" w:styleId="93">
    <w:name w:val="页脚 New New New New New New New New New New New"/>
    <w:basedOn w:val="89"/>
    <w:qFormat/>
    <w:uiPriority w:val="0"/>
    <w:pPr>
      <w:tabs>
        <w:tab w:val="center" w:pos="4153"/>
        <w:tab w:val="right" w:pos="8306"/>
      </w:tabs>
      <w:snapToGrid w:val="0"/>
      <w:jc w:val="left"/>
    </w:pPr>
    <w:rPr>
      <w:sz w:val="18"/>
      <w:szCs w:val="18"/>
    </w:rPr>
  </w:style>
  <w:style w:type="paragraph" w:customStyle="1" w:styleId="94">
    <w:name w:val="页眉 New New"/>
    <w:basedOn w:val="67"/>
    <w:qFormat/>
    <w:uiPriority w:val="0"/>
    <w:pPr>
      <w:pBdr>
        <w:bottom w:val="single" w:color="auto" w:sz="6" w:space="1"/>
      </w:pBdr>
      <w:tabs>
        <w:tab w:val="center" w:pos="4153"/>
        <w:tab w:val="right" w:pos="8306"/>
      </w:tabs>
      <w:snapToGrid w:val="0"/>
      <w:jc w:val="center"/>
    </w:pPr>
    <w:rPr>
      <w:sz w:val="18"/>
      <w:szCs w:val="18"/>
    </w:rPr>
  </w:style>
  <w:style w:type="paragraph" w:customStyle="1" w:styleId="95">
    <w:name w:val="页眉 New New New New New New New"/>
    <w:basedOn w:val="52"/>
    <w:qFormat/>
    <w:uiPriority w:val="0"/>
    <w:pPr>
      <w:pBdr>
        <w:bottom w:val="single" w:color="auto" w:sz="6" w:space="1"/>
      </w:pBdr>
      <w:tabs>
        <w:tab w:val="center" w:pos="4153"/>
        <w:tab w:val="right" w:pos="8306"/>
      </w:tabs>
      <w:snapToGrid w:val="0"/>
      <w:jc w:val="center"/>
    </w:pPr>
    <w:rPr>
      <w:sz w:val="18"/>
      <w:szCs w:val="18"/>
    </w:rPr>
  </w:style>
  <w:style w:type="paragraph" w:customStyle="1" w:styleId="96">
    <w:name w:val="页眉 New New New New New New New New New New New New New New New New New New New New New New New New New"/>
    <w:basedOn w:val="49"/>
    <w:qFormat/>
    <w:uiPriority w:val="0"/>
    <w:pPr>
      <w:pBdr>
        <w:bottom w:val="single" w:color="auto" w:sz="6" w:space="1"/>
      </w:pBdr>
      <w:tabs>
        <w:tab w:val="center" w:pos="4153"/>
        <w:tab w:val="right" w:pos="8306"/>
      </w:tabs>
      <w:snapToGrid w:val="0"/>
      <w:jc w:val="center"/>
    </w:pPr>
    <w:rPr>
      <w:sz w:val="18"/>
      <w:szCs w:val="18"/>
    </w:rPr>
  </w:style>
  <w:style w:type="paragraph" w:customStyle="1" w:styleId="97">
    <w:name w:val="页脚 New New New"/>
    <w:basedOn w:val="29"/>
    <w:qFormat/>
    <w:uiPriority w:val="0"/>
    <w:pPr>
      <w:tabs>
        <w:tab w:val="center" w:pos="4153"/>
        <w:tab w:val="right" w:pos="8306"/>
      </w:tabs>
      <w:snapToGrid w:val="0"/>
      <w:jc w:val="left"/>
    </w:pPr>
    <w:rPr>
      <w:rFonts w:eastAsia="仿宋_GB2312"/>
      <w:kern w:val="2"/>
      <w:sz w:val="18"/>
    </w:rPr>
  </w:style>
  <w:style w:type="paragraph" w:customStyle="1" w:styleId="98">
    <w:name w:val="页脚 New New New New New New"/>
    <w:basedOn w:val="47"/>
    <w:qFormat/>
    <w:uiPriority w:val="0"/>
    <w:pPr>
      <w:tabs>
        <w:tab w:val="center" w:pos="4153"/>
        <w:tab w:val="right" w:pos="8306"/>
      </w:tabs>
      <w:snapToGrid w:val="0"/>
      <w:jc w:val="left"/>
    </w:pPr>
    <w:rPr>
      <w:sz w:val="18"/>
      <w:szCs w:val="18"/>
    </w:rPr>
  </w:style>
  <w:style w:type="paragraph" w:customStyle="1" w:styleId="99">
    <w:name w:val="页眉 New New New New New New New New New New New"/>
    <w:basedOn w:val="89"/>
    <w:qFormat/>
    <w:uiPriority w:val="0"/>
    <w:pPr>
      <w:pBdr>
        <w:bottom w:val="single" w:color="auto" w:sz="6" w:space="1"/>
      </w:pBdr>
      <w:tabs>
        <w:tab w:val="center" w:pos="4153"/>
        <w:tab w:val="right" w:pos="8306"/>
      </w:tabs>
      <w:snapToGrid w:val="0"/>
      <w:jc w:val="center"/>
    </w:pPr>
    <w:rPr>
      <w:sz w:val="18"/>
      <w:szCs w:val="18"/>
    </w:rPr>
  </w:style>
  <w:style w:type="paragraph" w:customStyle="1" w:styleId="100">
    <w:name w:val="页脚 New New New New New New New New New New"/>
    <w:basedOn w:val="72"/>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Local\Kingsoft\WPS%20Office\12.1.0.22529\office6\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4285</Words>
  <Characters>4626</Characters>
  <Lines>54</Lines>
  <Paragraphs>15</Paragraphs>
  <TotalTime>7</TotalTime>
  <ScaleCrop>false</ScaleCrop>
  <LinksUpToDate>false</LinksUpToDate>
  <CharactersWithSpaces>4698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2024-07-30T08:08:00Z</dcterms:created>
  <dc:creator>王志强</dc:creator>
  <cp:lastModifiedBy>甜片</cp:lastModifiedBy>
  <cp:lastPrinted>2026-10-28T01:58:00Z</cp:lastPrinted>
  <dcterms:modified xsi:type="dcterms:W3CDTF">2026-10-28T05:41:49Z</dcterms:modified>
  <dc:title>2015年度部门决算公开模板</dc:title>
  <cp:revision>206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C93E4AAB967D4E1AAF821CA7A8FC6C9B_13</vt:lpwstr>
  </property>
  <property fmtid="{D5CDD505-2E9C-101B-9397-08002B2CF9AE}" pid="4" name="KSOTemplateDocerSaveRecord">
    <vt:lpwstr>eyJoZGlkIjoiM2MwNjkxNTM1MzUyMDgxODY0YjVjMzYxM2Y2ZTQxZGQiLCJ1c2VySWQiOiIzNDcxODMzMDcifQ==</vt:lpwstr>
  </property>
</Properties>
</file>