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A4A234">
      <w:pPr>
        <w:jc w:val="center"/>
        <w:rPr>
          <w:rFonts w:hint="eastAsia" w:eastAsia="宋体"/>
          <w:b/>
          <w:bCs/>
          <w:sz w:val="44"/>
          <w:szCs w:val="44"/>
          <w:lang w:val="en-US" w:eastAsia="zh-CN"/>
        </w:rPr>
      </w:pPr>
      <w:r>
        <w:rPr>
          <w:rFonts w:hint="eastAsia"/>
          <w:b/>
          <w:bCs/>
          <w:sz w:val="44"/>
          <w:szCs w:val="44"/>
          <w:lang w:val="en-US" w:eastAsia="zh-CN"/>
        </w:rPr>
        <w:t xml:space="preserve"> </w:t>
      </w:r>
    </w:p>
    <w:p w14:paraId="634339B9">
      <w:pPr>
        <w:jc w:val="center"/>
        <w:rPr>
          <w:b/>
          <w:bCs/>
          <w:sz w:val="44"/>
          <w:szCs w:val="44"/>
        </w:rPr>
      </w:pPr>
      <w:r>
        <w:rPr>
          <w:rFonts w:hint="eastAsia"/>
          <w:b/>
          <w:bCs/>
          <w:sz w:val="44"/>
          <w:szCs w:val="44"/>
        </w:rPr>
        <w:t>长春市二道区</w:t>
      </w:r>
      <w:r>
        <w:rPr>
          <w:b/>
          <w:bCs/>
          <w:sz w:val="44"/>
          <w:szCs w:val="44"/>
        </w:rPr>
        <w:t>202</w:t>
      </w:r>
      <w:r>
        <w:rPr>
          <w:rFonts w:hint="eastAsia"/>
          <w:b/>
          <w:bCs/>
          <w:sz w:val="44"/>
          <w:szCs w:val="44"/>
          <w:lang w:val="en-US" w:eastAsia="zh-CN"/>
        </w:rPr>
        <w:t>3</w:t>
      </w:r>
      <w:r>
        <w:rPr>
          <w:rFonts w:hint="eastAsia"/>
          <w:b/>
          <w:bCs/>
          <w:sz w:val="44"/>
          <w:szCs w:val="44"/>
        </w:rPr>
        <w:t>年预算绩效管理</w:t>
      </w:r>
    </w:p>
    <w:p w14:paraId="18BFF01C">
      <w:pPr>
        <w:jc w:val="center"/>
        <w:rPr>
          <w:b/>
          <w:bCs/>
          <w:sz w:val="44"/>
          <w:szCs w:val="44"/>
        </w:rPr>
      </w:pPr>
      <w:r>
        <w:rPr>
          <w:rFonts w:hint="eastAsia"/>
          <w:b/>
          <w:bCs/>
          <w:sz w:val="44"/>
          <w:szCs w:val="44"/>
        </w:rPr>
        <w:t>工作情况</w:t>
      </w:r>
    </w:p>
    <w:p w14:paraId="3A710B86">
      <w:pPr>
        <w:autoSpaceDE w:val="0"/>
        <w:snapToGrid w:val="0"/>
        <w:spacing w:line="600" w:lineRule="exact"/>
        <w:rPr>
          <w:rFonts w:ascii="仿宋_GB2312" w:hAnsi="Times New Roman" w:eastAsia="仿宋_GB2312"/>
          <w:sz w:val="32"/>
          <w:szCs w:val="32"/>
        </w:rPr>
      </w:pPr>
    </w:p>
    <w:p w14:paraId="35915051">
      <w:pPr>
        <w:ind w:firstLine="640" w:firstLineChars="200"/>
        <w:jc w:val="left"/>
        <w:rPr>
          <w:rFonts w:ascii="黑体" w:hAnsi="黑体" w:eastAsia="黑体"/>
          <w:sz w:val="32"/>
          <w:szCs w:val="32"/>
        </w:rPr>
      </w:pPr>
      <w:r>
        <w:rPr>
          <w:rFonts w:hint="eastAsia" w:ascii="黑体" w:hAnsi="黑体" w:eastAsia="黑体"/>
          <w:sz w:val="32"/>
          <w:szCs w:val="32"/>
        </w:rPr>
        <w:t>一、绩效管理工作开展情况</w:t>
      </w:r>
    </w:p>
    <w:p w14:paraId="1DF54A0B">
      <w:pPr>
        <w:autoSpaceDE w:val="0"/>
        <w:snapToGrid w:val="0"/>
        <w:spacing w:line="600" w:lineRule="exact"/>
        <w:ind w:firstLine="640" w:firstLineChars="200"/>
        <w:rPr>
          <w:rFonts w:ascii="仿宋_GB2312" w:hAnsi="Times New Roman" w:eastAsia="仿宋_GB2312"/>
          <w:sz w:val="32"/>
          <w:szCs w:val="32"/>
        </w:rPr>
      </w:pPr>
      <w:r>
        <w:rPr>
          <w:rFonts w:hint="eastAsia" w:ascii="楷体_GB2312" w:hAnsi="楷体_GB2312" w:eastAsia="楷体_GB2312" w:cs="楷体_GB2312"/>
          <w:bCs/>
          <w:sz w:val="32"/>
          <w:szCs w:val="32"/>
          <w:shd w:val="clear" w:color="auto" w:fill="FFFFFF"/>
        </w:rPr>
        <w:t>（一）加强绩效管理组织保障。</w:t>
      </w:r>
      <w:r>
        <w:rPr>
          <w:rFonts w:hint="eastAsia" w:ascii="仿宋_GB2312" w:hAnsi="Times New Roman" w:eastAsia="仿宋_GB2312"/>
          <w:sz w:val="32"/>
          <w:szCs w:val="32"/>
        </w:rPr>
        <w:t>成立以局长为组长，分管副局长为副组长的预算绩效工作领导小组，预算科为牵头科室统筹协调推进，指派</w:t>
      </w:r>
      <w:r>
        <w:rPr>
          <w:rFonts w:ascii="仿宋_GB2312" w:hAnsi="Times New Roman" w:eastAsia="仿宋_GB2312"/>
          <w:sz w:val="32"/>
          <w:szCs w:val="32"/>
        </w:rPr>
        <w:t>2</w:t>
      </w:r>
      <w:r>
        <w:rPr>
          <w:rFonts w:hint="eastAsia" w:ascii="仿宋_GB2312" w:hAnsi="Times New Roman" w:eastAsia="仿宋_GB2312"/>
          <w:sz w:val="32"/>
          <w:szCs w:val="32"/>
        </w:rPr>
        <w:t>名科室人员专门负责预算绩效日常管理，同时各相关科室负责人按各自分工认领工作任务，把落实此项工作作为一项政治任务来抓。</w:t>
      </w:r>
      <w:r>
        <w:rPr>
          <w:rFonts w:ascii="仿宋_GB2312" w:hAnsi="Times New Roman" w:eastAsia="仿宋_GB2312"/>
          <w:sz w:val="32"/>
          <w:szCs w:val="32"/>
        </w:rPr>
        <w:t>202</w:t>
      </w:r>
      <w:r>
        <w:rPr>
          <w:rFonts w:hint="eastAsia" w:ascii="仿宋_GB2312" w:hAnsi="Times New Roman" w:eastAsia="仿宋_GB2312"/>
          <w:sz w:val="32"/>
          <w:szCs w:val="32"/>
          <w:lang w:val="en-US" w:eastAsia="zh-CN"/>
        </w:rPr>
        <w:t>3</w:t>
      </w:r>
      <w:r>
        <w:rPr>
          <w:rFonts w:hint="eastAsia" w:ascii="仿宋_GB2312" w:hAnsi="Times New Roman" w:eastAsia="仿宋_GB2312"/>
          <w:sz w:val="32"/>
          <w:szCs w:val="32"/>
        </w:rPr>
        <w:t>年，在我局部门预算中足额安排预算绩效管理工作经费</w:t>
      </w:r>
      <w:r>
        <w:rPr>
          <w:rFonts w:hint="eastAsia" w:ascii="仿宋_GB2312" w:hAnsi="Times New Roman" w:eastAsia="仿宋_GB2312"/>
          <w:sz w:val="32"/>
          <w:szCs w:val="32"/>
          <w:lang w:val="en-US" w:eastAsia="zh-CN"/>
        </w:rPr>
        <w:t>66</w:t>
      </w:r>
      <w:r>
        <w:rPr>
          <w:rFonts w:hint="eastAsia" w:ascii="仿宋_GB2312" w:hAnsi="Times New Roman" w:eastAsia="仿宋_GB2312"/>
          <w:sz w:val="32"/>
          <w:szCs w:val="32"/>
        </w:rPr>
        <w:t>万元，扎实稳妥推进相关工作开展。</w:t>
      </w:r>
    </w:p>
    <w:p w14:paraId="13068E7D">
      <w:pPr>
        <w:autoSpaceDE w:val="0"/>
        <w:snapToGrid w:val="0"/>
        <w:spacing w:line="600" w:lineRule="exact"/>
        <w:ind w:firstLine="640" w:firstLineChars="200"/>
        <w:rPr>
          <w:rFonts w:ascii="仿宋_GB2312" w:hAnsi="仿宋_GB2312" w:eastAsia="仿宋_GB2312" w:cs="仿宋_GB2312"/>
          <w:color w:val="000000"/>
          <w:sz w:val="32"/>
          <w:szCs w:val="32"/>
        </w:rPr>
      </w:pPr>
      <w:r>
        <w:rPr>
          <w:rFonts w:hint="eastAsia" w:ascii="楷体_GB2312" w:hAnsi="楷体_GB2312" w:eastAsia="楷体_GB2312" w:cs="楷体_GB2312"/>
          <w:bCs/>
          <w:sz w:val="32"/>
          <w:szCs w:val="32"/>
          <w:shd w:val="clear" w:color="auto" w:fill="FFFFFF"/>
        </w:rPr>
        <w:t>（二）</w:t>
      </w:r>
      <w:r>
        <w:rPr>
          <w:rFonts w:hint="eastAsia" w:ascii="楷体_GB2312" w:hAnsi="楷体_GB2312" w:eastAsia="楷体_GB2312" w:cs="楷体_GB2312"/>
          <w:bCs/>
          <w:sz w:val="32"/>
          <w:szCs w:val="32"/>
          <w:shd w:val="clear" w:color="auto" w:fill="FFFFFF"/>
          <w:lang w:eastAsia="zh-CN"/>
        </w:rPr>
        <w:t>夯实</w:t>
      </w:r>
      <w:r>
        <w:rPr>
          <w:rFonts w:hint="eastAsia" w:ascii="楷体_GB2312" w:hAnsi="楷体_GB2312" w:eastAsia="楷体_GB2312" w:cs="楷体_GB2312"/>
          <w:bCs/>
          <w:sz w:val="32"/>
          <w:szCs w:val="32"/>
          <w:shd w:val="clear" w:color="auto" w:fill="FFFFFF"/>
        </w:rPr>
        <w:t>预算绩效管理制度</w:t>
      </w:r>
      <w:r>
        <w:rPr>
          <w:rFonts w:hint="eastAsia" w:ascii="楷体_GB2312" w:hAnsi="楷体_GB2312" w:eastAsia="楷体_GB2312" w:cs="楷体_GB2312"/>
          <w:bCs/>
          <w:sz w:val="32"/>
          <w:szCs w:val="32"/>
          <w:shd w:val="clear" w:color="auto" w:fill="FFFFFF"/>
          <w:lang w:eastAsia="zh-CN"/>
        </w:rPr>
        <w:t>基础</w:t>
      </w:r>
      <w:r>
        <w:rPr>
          <w:rFonts w:hint="eastAsia" w:ascii="楷体_GB2312" w:hAnsi="楷体_GB2312" w:eastAsia="楷体_GB2312" w:cs="楷体_GB2312"/>
          <w:bCs/>
          <w:sz w:val="32"/>
          <w:szCs w:val="32"/>
          <w:shd w:val="clear" w:color="auto" w:fill="FFFFFF"/>
        </w:rPr>
        <w:t>。</w:t>
      </w:r>
      <w:r>
        <w:rPr>
          <w:rFonts w:hint="eastAsia" w:ascii="仿宋_GB2312" w:hAnsi="仿宋_GB2312" w:eastAsia="仿宋_GB2312" w:cs="仿宋_GB2312"/>
          <w:color w:val="000000"/>
          <w:sz w:val="32"/>
          <w:szCs w:val="32"/>
          <w:lang w:eastAsia="zh-CN"/>
        </w:rPr>
        <w:t>按照</w:t>
      </w:r>
      <w:r>
        <w:rPr>
          <w:rFonts w:hint="eastAsia" w:ascii="仿宋_GB2312" w:hAnsi="仿宋_GB2312" w:eastAsia="仿宋_GB2312" w:cs="仿宋_GB2312"/>
          <w:color w:val="000000"/>
          <w:sz w:val="32"/>
          <w:szCs w:val="32"/>
        </w:rPr>
        <w:t>《二道预算绩效管理办法（试行）》</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《长春市二道区预算绩效运行监控管理实施办法（试行）》、《长春市二道区预算事前绩效评估管理办法（试行）》等</w:t>
      </w:r>
      <w:r>
        <w:rPr>
          <w:rFonts w:hint="eastAsia" w:ascii="仿宋_GB2312" w:hAnsi="仿宋_GB2312" w:eastAsia="仿宋_GB2312" w:cs="仿宋_GB2312"/>
          <w:color w:val="000000"/>
          <w:sz w:val="32"/>
          <w:szCs w:val="32"/>
          <w:lang w:eastAsia="zh-CN"/>
        </w:rPr>
        <w:t>相关要求</w:t>
      </w:r>
      <w:r>
        <w:rPr>
          <w:rFonts w:hint="eastAsia" w:ascii="仿宋_GB2312" w:hAnsi="仿宋_GB2312" w:eastAsia="仿宋_GB2312" w:cs="仿宋_GB2312"/>
          <w:color w:val="000000"/>
          <w:sz w:val="32"/>
          <w:szCs w:val="32"/>
        </w:rPr>
        <w:t>，积极</w:t>
      </w:r>
      <w:r>
        <w:rPr>
          <w:rFonts w:hint="eastAsia" w:ascii="仿宋_GB2312" w:hAnsi="仿宋_GB2312" w:eastAsia="仿宋_GB2312" w:cs="仿宋_GB2312"/>
          <w:color w:val="000000"/>
          <w:sz w:val="32"/>
          <w:szCs w:val="32"/>
          <w:lang w:eastAsia="zh-CN"/>
        </w:rPr>
        <w:t>组织全区</w:t>
      </w:r>
      <w:r>
        <w:rPr>
          <w:rFonts w:hint="eastAsia" w:ascii="仿宋_GB2312" w:hAnsi="仿宋_GB2312" w:eastAsia="仿宋_GB2312" w:cs="仿宋_GB2312"/>
          <w:color w:val="000000"/>
          <w:sz w:val="32"/>
          <w:szCs w:val="32"/>
        </w:rPr>
        <w:t>各预算单位</w:t>
      </w:r>
      <w:r>
        <w:rPr>
          <w:rFonts w:hint="eastAsia" w:ascii="仿宋_GB2312" w:hAnsi="仿宋_GB2312" w:eastAsia="仿宋_GB2312" w:cs="仿宋_GB2312"/>
          <w:color w:val="000000"/>
          <w:sz w:val="32"/>
          <w:szCs w:val="32"/>
          <w:lang w:eastAsia="zh-CN"/>
        </w:rPr>
        <w:t>进行</w:t>
      </w:r>
      <w:r>
        <w:rPr>
          <w:rFonts w:hint="eastAsia" w:ascii="仿宋_GB2312" w:hAnsi="仿宋_GB2312" w:eastAsia="仿宋_GB2312" w:cs="仿宋_GB2312"/>
          <w:color w:val="000000"/>
          <w:sz w:val="32"/>
          <w:szCs w:val="32"/>
        </w:rPr>
        <w:t>学习，结合上级政策要求和</w:t>
      </w:r>
      <w:r>
        <w:rPr>
          <w:rFonts w:hint="eastAsia" w:ascii="仿宋_GB2312" w:hAnsi="仿宋_GB2312" w:eastAsia="仿宋_GB2312" w:cs="仿宋_GB2312"/>
          <w:color w:val="000000"/>
          <w:sz w:val="32"/>
          <w:szCs w:val="32"/>
          <w:lang w:eastAsia="zh-CN"/>
        </w:rPr>
        <w:t>工作实际</w:t>
      </w:r>
      <w:r>
        <w:rPr>
          <w:rFonts w:hint="eastAsia" w:ascii="仿宋_GB2312" w:hAnsi="仿宋_GB2312" w:eastAsia="仿宋_GB2312" w:cs="仿宋_GB2312"/>
          <w:color w:val="000000"/>
          <w:sz w:val="32"/>
          <w:szCs w:val="32"/>
        </w:rPr>
        <w:t>开展相关工作，</w:t>
      </w:r>
      <w:r>
        <w:rPr>
          <w:rFonts w:hint="eastAsia" w:ascii="仿宋_GB2312" w:hAnsi="仿宋_GB2312" w:eastAsia="仿宋_GB2312" w:cs="仿宋_GB2312"/>
          <w:color w:val="000000"/>
          <w:sz w:val="32"/>
          <w:szCs w:val="32"/>
          <w:lang w:eastAsia="zh-CN"/>
        </w:rPr>
        <w:t>进一步</w:t>
      </w:r>
      <w:r>
        <w:rPr>
          <w:rFonts w:hint="eastAsia" w:ascii="仿宋_GB2312" w:hAnsi="仿宋_GB2312" w:eastAsia="仿宋_GB2312" w:cs="仿宋_GB2312"/>
          <w:color w:val="000000"/>
          <w:sz w:val="32"/>
          <w:szCs w:val="32"/>
        </w:rPr>
        <w:t>提高各部门对绩效工作的重视程度，</w:t>
      </w:r>
      <w:r>
        <w:rPr>
          <w:rFonts w:hint="eastAsia" w:ascii="仿宋_GB2312" w:hAnsi="仿宋_GB2312" w:eastAsia="仿宋_GB2312" w:cs="仿宋_GB2312"/>
          <w:color w:val="000000"/>
          <w:sz w:val="32"/>
          <w:szCs w:val="32"/>
          <w:lang w:eastAsia="zh-CN"/>
        </w:rPr>
        <w:t>深入贯彻预算</w:t>
      </w:r>
      <w:r>
        <w:rPr>
          <w:rFonts w:hint="eastAsia" w:ascii="仿宋_GB2312" w:hAnsi="仿宋_GB2312" w:eastAsia="仿宋_GB2312" w:cs="仿宋_GB2312"/>
          <w:color w:val="000000"/>
          <w:sz w:val="32"/>
          <w:szCs w:val="32"/>
        </w:rPr>
        <w:t>绩效理念，促进绩效管理的完整性、科学性、全面性。</w:t>
      </w:r>
    </w:p>
    <w:p w14:paraId="1D480C40">
      <w:pPr>
        <w:pStyle w:val="22"/>
        <w:spacing w:line="600" w:lineRule="exact"/>
        <w:ind w:firstLine="645"/>
        <w:rPr>
          <w:rFonts w:hint="eastAsia" w:ascii="仿宋_GB2312"/>
        </w:rPr>
      </w:pPr>
      <w:r>
        <w:rPr>
          <w:rFonts w:ascii="楷体_GB2312" w:hAnsi="楷体_GB2312" w:eastAsia="楷体_GB2312" w:cs="楷体_GB2312"/>
          <w:bCs/>
          <w:sz w:val="32"/>
          <w:szCs w:val="32"/>
          <w:shd w:val="clear" w:color="auto" w:fill="FFFFFF"/>
        </w:rPr>
        <w:t xml:space="preserve"> (</w:t>
      </w:r>
      <w:r>
        <w:rPr>
          <w:rFonts w:hint="eastAsia" w:ascii="楷体_GB2312" w:hAnsi="楷体_GB2312" w:eastAsia="楷体_GB2312" w:cs="楷体_GB2312"/>
          <w:bCs/>
          <w:sz w:val="32"/>
          <w:szCs w:val="32"/>
          <w:shd w:val="clear" w:color="auto" w:fill="FFFFFF"/>
        </w:rPr>
        <w:t>三）加强预算绩效管理业务培训。</w:t>
      </w:r>
      <w:r>
        <w:rPr>
          <w:rFonts w:hint="eastAsia" w:ascii="仿宋_GB2312" w:hAnsi="仿宋_GB2312" w:eastAsia="仿宋_GB2312" w:cs="仿宋_GB2312"/>
          <w:color w:val="000000"/>
          <w:kern w:val="2"/>
          <w:sz w:val="32"/>
          <w:szCs w:val="32"/>
          <w:lang w:val="en-US" w:eastAsia="zh-CN" w:bidi="ar-SA"/>
        </w:rPr>
        <w:t>我</w:t>
      </w:r>
      <w:r>
        <w:rPr>
          <w:rFonts w:hint="eastAsia" w:ascii="仿宋_GB2312" w:hAnsi="仿宋_GB2312" w:cs="仿宋_GB2312"/>
          <w:color w:val="000000"/>
          <w:kern w:val="2"/>
          <w:sz w:val="32"/>
          <w:szCs w:val="32"/>
          <w:lang w:val="en-US" w:eastAsia="zh-CN" w:bidi="ar-SA"/>
        </w:rPr>
        <w:t>区</w:t>
      </w:r>
      <w:r>
        <w:rPr>
          <w:rFonts w:hint="eastAsia" w:ascii="仿宋_GB2312" w:hAnsi="仿宋_GB2312" w:eastAsia="仿宋_GB2312" w:cs="仿宋_GB2312"/>
          <w:color w:val="000000"/>
          <w:kern w:val="2"/>
          <w:sz w:val="32"/>
          <w:szCs w:val="32"/>
          <w:lang w:val="en-US" w:eastAsia="zh-CN" w:bidi="ar-SA"/>
        </w:rPr>
        <w:t>于2023年10月20日召开预算绩效管理工作推进会。全区113家部门（单位）分管财务负责同志及财务科室负责同志230余人参加</w:t>
      </w:r>
      <w:r>
        <w:rPr>
          <w:rFonts w:hint="eastAsia" w:ascii="仿宋_GB2312" w:hAnsi="仿宋_GB2312" w:cs="仿宋_GB2312"/>
          <w:color w:val="000000"/>
          <w:kern w:val="2"/>
          <w:sz w:val="32"/>
          <w:szCs w:val="32"/>
          <w:lang w:val="en-US" w:eastAsia="zh-CN" w:bidi="ar-SA"/>
        </w:rPr>
        <w:t>培训</w:t>
      </w:r>
      <w:r>
        <w:rPr>
          <w:rFonts w:hint="eastAsia" w:ascii="仿宋_GB2312" w:hAnsi="仿宋_GB2312" w:eastAsia="仿宋_GB2312" w:cs="仿宋_GB2312"/>
          <w:color w:val="000000"/>
          <w:kern w:val="2"/>
          <w:sz w:val="32"/>
          <w:szCs w:val="32"/>
          <w:lang w:val="en-US" w:eastAsia="zh-CN" w:bidi="ar-SA"/>
        </w:rPr>
        <w:t>会议。培训内容详实细致，深入浅出，为我区预</w:t>
      </w:r>
      <w:r>
        <w:rPr>
          <w:rFonts w:hint="eastAsia" w:ascii="仿宋_GB2312"/>
        </w:rPr>
        <w:t>算绩效管理工作提质</w:t>
      </w:r>
      <w:r>
        <w:rPr>
          <w:rFonts w:hint="eastAsia" w:ascii="仿宋_GB2312"/>
          <w:lang w:eastAsia="zh-CN"/>
        </w:rPr>
        <w:t>增</w:t>
      </w:r>
      <w:r>
        <w:rPr>
          <w:rFonts w:hint="eastAsia" w:ascii="仿宋_GB2312"/>
        </w:rPr>
        <w:t>效打下了良好基础。</w:t>
      </w:r>
    </w:p>
    <w:p w14:paraId="3835B9D0">
      <w:pPr>
        <w:pStyle w:val="22"/>
        <w:spacing w:line="600" w:lineRule="exact"/>
        <w:ind w:firstLine="645"/>
        <w:rPr>
          <w:rFonts w:ascii="仿宋_GB2312" w:hAnsi="仿宋_GB2312" w:eastAsia="仿宋_GB2312" w:cs="仿宋_GB2312"/>
          <w:color w:val="000000"/>
          <w:sz w:val="32"/>
          <w:szCs w:val="32"/>
        </w:rPr>
      </w:pPr>
      <w:r>
        <w:rPr>
          <w:rFonts w:hint="eastAsia" w:ascii="楷体_GB2312" w:hAnsi="楷体_GB2312" w:eastAsia="楷体_GB2312" w:cs="楷体_GB2312"/>
          <w:bCs/>
          <w:sz w:val="32"/>
          <w:szCs w:val="32"/>
          <w:shd w:val="clear" w:color="auto" w:fill="FFFFFF"/>
        </w:rPr>
        <w:t>（四）加强绩效管理事前评估。</w:t>
      </w:r>
      <w:r>
        <w:rPr>
          <w:rFonts w:hint="eastAsia" w:ascii="仿宋_GB2312" w:hAnsi="仿宋_GB2312" w:eastAsia="仿宋_GB2312" w:cs="仿宋_GB2312"/>
          <w:color w:val="000000"/>
          <w:sz w:val="32"/>
          <w:szCs w:val="32"/>
        </w:rPr>
        <w:t>2024年，我区成功申请专项债券项目7个，</w:t>
      </w:r>
      <w:r>
        <w:rPr>
          <w:rFonts w:hint="eastAsia" w:ascii="仿宋_GB2312" w:hAnsi="仿宋_GB2312" w:cs="仿宋_GB2312"/>
          <w:color w:val="000000"/>
          <w:sz w:val="32"/>
          <w:szCs w:val="32"/>
          <w:lang w:eastAsia="zh-CN"/>
        </w:rPr>
        <w:t>争取到位</w:t>
      </w:r>
      <w:r>
        <w:rPr>
          <w:rFonts w:hint="eastAsia" w:ascii="仿宋_GB2312" w:hAnsi="仿宋_GB2312" w:eastAsia="仿宋_GB2312" w:cs="仿宋_GB2312"/>
          <w:color w:val="000000"/>
          <w:sz w:val="32"/>
          <w:szCs w:val="32"/>
        </w:rPr>
        <w:t>限额52100万元。为</w:t>
      </w:r>
      <w:r>
        <w:rPr>
          <w:rFonts w:hint="eastAsia" w:ascii="仿宋_GB2312" w:hAnsi="仿宋_GB2312" w:cs="仿宋_GB2312"/>
          <w:color w:val="000000"/>
          <w:sz w:val="32"/>
          <w:szCs w:val="32"/>
          <w:lang w:eastAsia="zh-CN"/>
        </w:rPr>
        <w:t>持续</w:t>
      </w:r>
      <w:r>
        <w:rPr>
          <w:rFonts w:hint="eastAsia" w:ascii="仿宋_GB2312" w:hAnsi="仿宋_GB2312" w:eastAsia="仿宋_GB2312" w:cs="仿宋_GB2312"/>
          <w:color w:val="000000"/>
          <w:sz w:val="32"/>
          <w:szCs w:val="32"/>
        </w:rPr>
        <w:t>做好申报工作，我区对申报2024年地方政府专项债券的3个新增项目（1、吉林省长春市二道区2023年城镇老旧小区改造配套基础设施建设项目；2、长春市二道区2023年老旧小区楼体内改造项目；3、二道区数字经济双创产业园基础设施建设项目）进行事前绩效评估，评估结果显示</w:t>
      </w:r>
      <w:r>
        <w:rPr>
          <w:rFonts w:hint="eastAsia" w:ascii="仿宋_GB2312" w:hAnsi="仿宋_GB2312" w:cs="仿宋_GB2312"/>
          <w:color w:val="000000"/>
          <w:sz w:val="32"/>
          <w:szCs w:val="32"/>
          <w:lang w:eastAsia="zh-CN"/>
        </w:rPr>
        <w:t>良好，</w:t>
      </w:r>
      <w:r>
        <w:rPr>
          <w:rFonts w:hint="eastAsia" w:ascii="仿宋_GB2312" w:hAnsi="仿宋_GB2312" w:eastAsia="仿宋_GB2312" w:cs="仿宋_GB2312"/>
          <w:color w:val="000000"/>
          <w:sz w:val="32"/>
          <w:szCs w:val="32"/>
        </w:rPr>
        <w:t>申报项目全部符合申报条件。</w:t>
      </w:r>
    </w:p>
    <w:p w14:paraId="2B800BC2">
      <w:pPr>
        <w:autoSpaceDE w:val="0"/>
        <w:snapToGrid w:val="0"/>
        <w:spacing w:line="600" w:lineRule="exact"/>
        <w:ind w:firstLine="640" w:firstLineChars="200"/>
        <w:rPr>
          <w:rFonts w:ascii="仿宋_GB2312" w:hAnsi="Times New Roman" w:eastAsia="仿宋_GB2312"/>
          <w:sz w:val="32"/>
          <w:szCs w:val="32"/>
        </w:rPr>
      </w:pPr>
      <w:r>
        <w:rPr>
          <w:rFonts w:hint="eastAsia" w:ascii="楷体_GB2312" w:hAnsi="楷体_GB2312" w:eastAsia="楷体_GB2312" w:cs="楷体_GB2312"/>
          <w:bCs/>
          <w:sz w:val="32"/>
          <w:szCs w:val="32"/>
          <w:shd w:val="clear" w:color="auto" w:fill="FFFFFF"/>
        </w:rPr>
        <w:t>（五）加强预算绩效目标管理。</w:t>
      </w:r>
      <w:r>
        <w:rPr>
          <w:rFonts w:hint="eastAsia" w:ascii="仿宋_GB2312" w:hAnsi="Times New Roman" w:eastAsia="仿宋_GB2312"/>
          <w:sz w:val="32"/>
          <w:szCs w:val="32"/>
          <w:lang w:eastAsia="zh-CN"/>
        </w:rPr>
        <w:t>通过</w:t>
      </w:r>
      <w:r>
        <w:rPr>
          <w:rFonts w:hint="eastAsia" w:ascii="仿宋_GB2312" w:hAnsi="Times New Roman" w:eastAsia="仿宋_GB2312"/>
          <w:sz w:val="32"/>
          <w:szCs w:val="32"/>
        </w:rPr>
        <w:t>预算管理一体化系统，完成全区</w:t>
      </w:r>
      <w:r>
        <w:rPr>
          <w:rFonts w:hint="eastAsia" w:ascii="仿宋_GB2312" w:hAnsi="Times New Roman" w:eastAsia="仿宋_GB2312"/>
          <w:sz w:val="32"/>
          <w:szCs w:val="32"/>
          <w:lang w:val="en-US" w:eastAsia="zh-CN"/>
        </w:rPr>
        <w:t>113</w:t>
      </w:r>
      <w:r>
        <w:rPr>
          <w:rFonts w:hint="eastAsia" w:ascii="仿宋_GB2312" w:hAnsi="Times New Roman" w:eastAsia="仿宋_GB2312"/>
          <w:sz w:val="32"/>
          <w:szCs w:val="32"/>
        </w:rPr>
        <w:t>家预算单位的部门整体支出绩效目标、项目支出绩效目标审核，对绩效目标设置过高或过低、关联性低以及没有量化的情况进行适当调整，确保项目绩效目标更加科学、合理，对绩效目标审核未通过的项目，不予安排预算。</w:t>
      </w:r>
    </w:p>
    <w:p w14:paraId="6FE5DDA8">
      <w:pPr>
        <w:autoSpaceDE w:val="0"/>
        <w:snapToGrid w:val="0"/>
        <w:spacing w:line="600" w:lineRule="exact"/>
        <w:ind w:firstLine="640" w:firstLineChars="200"/>
        <w:rPr>
          <w:rFonts w:ascii="仿宋_GB2312" w:hAnsi="Times New Roman" w:eastAsia="仿宋_GB2312"/>
          <w:sz w:val="32"/>
          <w:szCs w:val="32"/>
        </w:rPr>
      </w:pPr>
      <w:r>
        <w:rPr>
          <w:rFonts w:hint="eastAsia" w:ascii="楷体_GB2312" w:hAnsi="楷体_GB2312" w:eastAsia="楷体_GB2312" w:cs="楷体_GB2312"/>
          <w:bCs/>
          <w:sz w:val="32"/>
          <w:szCs w:val="32"/>
          <w:shd w:val="clear" w:color="auto" w:fill="FFFFFF"/>
        </w:rPr>
        <w:t>（六）加强预算绩效监控。</w:t>
      </w:r>
      <w:r>
        <w:rPr>
          <w:rFonts w:hint="eastAsia" w:ascii="仿宋_GB2312" w:hAnsi="Times New Roman" w:eastAsia="仿宋_GB2312"/>
          <w:sz w:val="32"/>
          <w:szCs w:val="32"/>
        </w:rPr>
        <w:t>按照预算绩效管理要求，加强国库资金监管，确保资金安全有效，对各预算单位绩效目标实现程度和预算执行进度“双监控”，发现问题及时纠正，确保绩效目标如期保质保量完成。</w:t>
      </w:r>
    </w:p>
    <w:p w14:paraId="42EF282B">
      <w:pPr>
        <w:ind w:firstLine="640" w:firstLineChars="200"/>
        <w:jc w:val="left"/>
        <w:rPr>
          <w:rFonts w:ascii="黑体" w:hAnsi="黑体" w:eastAsia="黑体"/>
          <w:sz w:val="32"/>
          <w:szCs w:val="32"/>
        </w:rPr>
      </w:pPr>
      <w:r>
        <w:rPr>
          <w:rFonts w:hint="eastAsia" w:ascii="黑体" w:hAnsi="黑体" w:eastAsia="黑体"/>
          <w:sz w:val="32"/>
          <w:szCs w:val="32"/>
        </w:rPr>
        <w:t>二、阶段性成效</w:t>
      </w:r>
    </w:p>
    <w:p w14:paraId="103A0C9B">
      <w:pPr>
        <w:ind w:left="319" w:leftChars="152" w:firstLine="160" w:firstLineChars="50"/>
        <w:jc w:val="left"/>
        <w:rPr>
          <w:rFonts w:hint="eastAsia" w:ascii="楷体_GB2312" w:hAnsi="楷体_GB2312" w:eastAsia="仿宋_GB2312" w:cs="楷体_GB2312"/>
          <w:bCs/>
          <w:sz w:val="32"/>
          <w:szCs w:val="32"/>
          <w:shd w:val="clear" w:color="auto" w:fill="FFFFFF"/>
          <w:lang w:eastAsia="zh-CN"/>
        </w:rPr>
      </w:pPr>
      <w:r>
        <w:rPr>
          <w:rFonts w:hint="eastAsia" w:ascii="楷体_GB2312" w:hAnsi="楷体_GB2312" w:eastAsia="楷体_GB2312" w:cs="楷体_GB2312"/>
          <w:bCs/>
          <w:sz w:val="32"/>
          <w:szCs w:val="32"/>
          <w:shd w:val="clear" w:color="auto" w:fill="FFFFFF"/>
        </w:rPr>
        <w:t>（一）各部门对预算绩效管理工作重视程度逐步提高</w:t>
      </w:r>
      <w:r>
        <w:rPr>
          <w:rFonts w:hint="eastAsia" w:ascii="楷体_GB2312" w:hAnsi="楷体_GB2312" w:eastAsia="楷体_GB2312" w:cs="楷体_GB2312"/>
          <w:bCs/>
          <w:sz w:val="32"/>
          <w:szCs w:val="32"/>
          <w:shd w:val="clear" w:color="auto" w:fill="FFFFFF"/>
          <w:lang w:eastAsia="zh-CN"/>
        </w:rPr>
        <w:t>。</w:t>
      </w:r>
      <w:r>
        <w:rPr>
          <w:rFonts w:hint="eastAsia" w:ascii="仿宋_GB2312" w:hAnsi="Times New Roman" w:eastAsia="仿宋_GB2312"/>
          <w:sz w:val="32"/>
          <w:szCs w:val="32"/>
        </w:rPr>
        <w:t>近年来</w:t>
      </w:r>
      <w:r>
        <w:rPr>
          <w:rFonts w:hint="eastAsia" w:ascii="仿宋_GB2312" w:hAnsi="Times New Roman" w:eastAsia="仿宋_GB2312"/>
          <w:sz w:val="32"/>
          <w:szCs w:val="32"/>
          <w:lang w:eastAsia="zh-CN"/>
        </w:rPr>
        <w:t>，我区</w:t>
      </w:r>
      <w:r>
        <w:rPr>
          <w:rFonts w:hint="eastAsia" w:ascii="仿宋_GB2312" w:hAnsi="Times New Roman" w:eastAsia="仿宋_GB2312"/>
          <w:sz w:val="32"/>
          <w:szCs w:val="32"/>
        </w:rPr>
        <w:t>预算绩效管理工作</w:t>
      </w:r>
      <w:r>
        <w:rPr>
          <w:rFonts w:hint="eastAsia" w:ascii="仿宋_GB2312" w:hAnsi="Times New Roman" w:eastAsia="仿宋_GB2312"/>
          <w:sz w:val="32"/>
          <w:szCs w:val="32"/>
          <w:lang w:eastAsia="zh-CN"/>
        </w:rPr>
        <w:t>相关程序进一步明晰、完善，</w:t>
      </w:r>
      <w:bookmarkStart w:id="0" w:name="_GoBack"/>
      <w:bookmarkEnd w:id="0"/>
      <w:r>
        <w:rPr>
          <w:rFonts w:hint="eastAsia" w:ascii="仿宋_GB2312" w:hAnsi="Times New Roman" w:eastAsia="仿宋_GB2312"/>
          <w:sz w:val="32"/>
          <w:szCs w:val="32"/>
        </w:rPr>
        <w:t>各部门对自身在绩效管理工作中承担的责任与角色也有了更加清晰的认识，</w:t>
      </w:r>
      <w:r>
        <w:rPr>
          <w:rFonts w:hint="eastAsia" w:ascii="仿宋_GB2312" w:hAnsi="Times New Roman" w:eastAsia="仿宋_GB2312"/>
          <w:sz w:val="32"/>
          <w:szCs w:val="32"/>
          <w:lang w:eastAsia="zh-CN"/>
        </w:rPr>
        <w:t>更加充分重视</w:t>
      </w:r>
      <w:r>
        <w:rPr>
          <w:rFonts w:hint="eastAsia" w:ascii="仿宋_GB2312" w:hAnsi="Times New Roman" w:eastAsia="仿宋_GB2312"/>
          <w:sz w:val="32"/>
          <w:szCs w:val="32"/>
        </w:rPr>
        <w:t>预算绩效管理</w:t>
      </w:r>
      <w:r>
        <w:rPr>
          <w:rFonts w:hint="eastAsia" w:ascii="仿宋_GB2312" w:hAnsi="Times New Roman" w:eastAsia="仿宋_GB2312"/>
          <w:sz w:val="32"/>
          <w:szCs w:val="32"/>
          <w:lang w:eastAsia="zh-CN"/>
        </w:rPr>
        <w:t>，学习主动性不断增强，工作效率明显提升。</w:t>
      </w:r>
    </w:p>
    <w:p w14:paraId="0322073D">
      <w:pPr>
        <w:ind w:firstLine="640" w:firstLineChars="200"/>
        <w:jc w:val="left"/>
        <w:rPr>
          <w:rFonts w:ascii="仿宋_GB2312" w:hAnsi="Times New Roman" w:eastAsia="仿宋_GB2312"/>
          <w:sz w:val="32"/>
          <w:szCs w:val="32"/>
        </w:rPr>
      </w:pPr>
      <w:r>
        <w:rPr>
          <w:rFonts w:hint="eastAsia" w:ascii="楷体_GB2312" w:hAnsi="楷体_GB2312" w:eastAsia="楷体_GB2312" w:cs="楷体_GB2312"/>
          <w:bCs/>
          <w:sz w:val="32"/>
          <w:szCs w:val="32"/>
          <w:shd w:val="clear" w:color="auto" w:fill="FFFFFF"/>
        </w:rPr>
        <w:t>（</w:t>
      </w:r>
      <w:r>
        <w:rPr>
          <w:rFonts w:hint="eastAsia" w:ascii="楷体_GB2312" w:hAnsi="楷体_GB2312" w:eastAsia="楷体_GB2312" w:cs="楷体_GB2312"/>
          <w:bCs/>
          <w:sz w:val="32"/>
          <w:szCs w:val="32"/>
          <w:shd w:val="clear" w:color="auto" w:fill="FFFFFF"/>
          <w:lang w:eastAsia="zh-CN"/>
        </w:rPr>
        <w:t>二</w:t>
      </w:r>
      <w:r>
        <w:rPr>
          <w:rFonts w:hint="eastAsia" w:ascii="楷体_GB2312" w:hAnsi="楷体_GB2312" w:eastAsia="楷体_GB2312" w:cs="楷体_GB2312"/>
          <w:bCs/>
          <w:sz w:val="32"/>
          <w:szCs w:val="32"/>
          <w:shd w:val="clear" w:color="auto" w:fill="FFFFFF"/>
        </w:rPr>
        <w:t>）资金使用效益不断提高。</w:t>
      </w:r>
      <w:r>
        <w:rPr>
          <w:rFonts w:hint="eastAsia" w:ascii="仿宋_GB2312" w:hAnsi="Times New Roman" w:eastAsia="仿宋_GB2312"/>
          <w:sz w:val="32"/>
          <w:szCs w:val="32"/>
        </w:rPr>
        <w:t>根据各部门</w:t>
      </w:r>
      <w:r>
        <w:rPr>
          <w:rFonts w:hint="eastAsia" w:ascii="仿宋_GB2312" w:hAnsi="Times New Roman" w:eastAsia="仿宋_GB2312"/>
          <w:sz w:val="32"/>
          <w:szCs w:val="32"/>
          <w:lang w:eastAsia="zh-CN"/>
        </w:rPr>
        <w:t>实际支出资金需求</w:t>
      </w:r>
      <w:r>
        <w:rPr>
          <w:rFonts w:ascii="仿宋_GB2312" w:hAnsi="Times New Roman" w:eastAsia="仿宋_GB2312"/>
          <w:sz w:val="32"/>
          <w:szCs w:val="32"/>
        </w:rPr>
        <w:t>,</w:t>
      </w:r>
      <w:r>
        <w:rPr>
          <w:rFonts w:hint="eastAsia" w:ascii="仿宋_GB2312" w:hAnsi="Times New Roman" w:eastAsia="仿宋_GB2312"/>
          <w:sz w:val="32"/>
          <w:szCs w:val="32"/>
        </w:rPr>
        <w:t>依托一体化系统</w:t>
      </w:r>
      <w:r>
        <w:rPr>
          <w:rFonts w:hint="eastAsia" w:ascii="仿宋_GB2312" w:hAnsi="Times New Roman" w:eastAsia="仿宋_GB2312"/>
          <w:sz w:val="32"/>
          <w:szCs w:val="32"/>
          <w:lang w:eastAsia="zh-CN"/>
        </w:rPr>
        <w:t>，强化对</w:t>
      </w:r>
      <w:r>
        <w:rPr>
          <w:rFonts w:hint="eastAsia" w:ascii="仿宋_GB2312" w:hAnsi="Times New Roman" w:eastAsia="仿宋_GB2312"/>
          <w:sz w:val="32"/>
          <w:szCs w:val="32"/>
        </w:rPr>
        <w:t>预算资金</w:t>
      </w:r>
      <w:r>
        <w:rPr>
          <w:rFonts w:hint="eastAsia" w:ascii="仿宋_GB2312" w:hAnsi="Times New Roman" w:eastAsia="仿宋_GB2312"/>
          <w:sz w:val="32"/>
          <w:szCs w:val="32"/>
          <w:lang w:eastAsia="zh-CN"/>
        </w:rPr>
        <w:t>的</w:t>
      </w:r>
      <w:r>
        <w:rPr>
          <w:rFonts w:hint="eastAsia" w:ascii="仿宋_GB2312" w:hAnsi="Times New Roman" w:eastAsia="仿宋_GB2312"/>
          <w:sz w:val="32"/>
          <w:szCs w:val="32"/>
        </w:rPr>
        <w:t>使用效率、投入产出比、项目实施产生的社会效益、环境效益</w:t>
      </w:r>
      <w:r>
        <w:rPr>
          <w:rFonts w:hint="eastAsia" w:ascii="仿宋_GB2312" w:hAnsi="Times New Roman" w:eastAsia="仿宋_GB2312"/>
          <w:sz w:val="32"/>
          <w:szCs w:val="32"/>
          <w:lang w:eastAsia="zh-CN"/>
        </w:rPr>
        <w:t>及</w:t>
      </w:r>
      <w:r>
        <w:rPr>
          <w:rFonts w:hint="eastAsia" w:ascii="仿宋_GB2312" w:hAnsi="Times New Roman" w:eastAsia="仿宋_GB2312"/>
          <w:sz w:val="32"/>
          <w:szCs w:val="32"/>
        </w:rPr>
        <w:t>经济效益等重要环节进行监督</w:t>
      </w:r>
      <w:r>
        <w:rPr>
          <w:rFonts w:ascii="仿宋_GB2312" w:hAnsi="Times New Roman" w:eastAsia="仿宋_GB2312"/>
          <w:sz w:val="32"/>
          <w:szCs w:val="32"/>
        </w:rPr>
        <w:t>,</w:t>
      </w:r>
      <w:r>
        <w:rPr>
          <w:rFonts w:hint="eastAsia" w:ascii="仿宋_GB2312" w:hAnsi="Times New Roman" w:eastAsia="仿宋_GB2312"/>
          <w:sz w:val="32"/>
          <w:szCs w:val="32"/>
        </w:rPr>
        <w:t>充分提高预算资金的使用效益。</w:t>
      </w:r>
    </w:p>
    <w:p w14:paraId="77575C2A">
      <w:pPr>
        <w:spacing w:line="360" w:lineRule="auto"/>
        <w:ind w:firstLine="5440" w:firstLineChars="1700"/>
        <w:rPr>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547B7">
    <w:pPr>
      <w:pStyle w:val="3"/>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2248C02C">
                <w:pPr>
                  <w:pStyle w:val="3"/>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mFjMzk2ZDM5ZGI2ZWQ3NjQ1MDhjOGY5NDcxODg3ZjkifQ=="/>
  </w:docVars>
  <w:rsids>
    <w:rsidRoot w:val="00E013E7"/>
    <w:rsid w:val="00176D47"/>
    <w:rsid w:val="00181D93"/>
    <w:rsid w:val="0019368F"/>
    <w:rsid w:val="001B3D92"/>
    <w:rsid w:val="001B7599"/>
    <w:rsid w:val="001D3785"/>
    <w:rsid w:val="00214DCF"/>
    <w:rsid w:val="0031148E"/>
    <w:rsid w:val="00317874"/>
    <w:rsid w:val="003712BB"/>
    <w:rsid w:val="0039477C"/>
    <w:rsid w:val="003B2F17"/>
    <w:rsid w:val="003C5BD8"/>
    <w:rsid w:val="0045237C"/>
    <w:rsid w:val="00496E37"/>
    <w:rsid w:val="004F4AAE"/>
    <w:rsid w:val="00500351"/>
    <w:rsid w:val="00557221"/>
    <w:rsid w:val="0057152E"/>
    <w:rsid w:val="00586042"/>
    <w:rsid w:val="00590631"/>
    <w:rsid w:val="005B7D36"/>
    <w:rsid w:val="005E2072"/>
    <w:rsid w:val="00696259"/>
    <w:rsid w:val="006B6608"/>
    <w:rsid w:val="00717715"/>
    <w:rsid w:val="00807D75"/>
    <w:rsid w:val="00826A41"/>
    <w:rsid w:val="008C6D21"/>
    <w:rsid w:val="008C7703"/>
    <w:rsid w:val="00932665"/>
    <w:rsid w:val="00937D96"/>
    <w:rsid w:val="00942CFF"/>
    <w:rsid w:val="00944211"/>
    <w:rsid w:val="00944DB6"/>
    <w:rsid w:val="00A33101"/>
    <w:rsid w:val="00C40825"/>
    <w:rsid w:val="00D73E85"/>
    <w:rsid w:val="00DC02FA"/>
    <w:rsid w:val="00E013E7"/>
    <w:rsid w:val="00E1120D"/>
    <w:rsid w:val="00ED74FF"/>
    <w:rsid w:val="00F60823"/>
    <w:rsid w:val="00FC4232"/>
    <w:rsid w:val="02D05560"/>
    <w:rsid w:val="03500C6F"/>
    <w:rsid w:val="0518526D"/>
    <w:rsid w:val="051C4A8C"/>
    <w:rsid w:val="08BF794D"/>
    <w:rsid w:val="09C64410"/>
    <w:rsid w:val="0A242E31"/>
    <w:rsid w:val="0ABE1CE7"/>
    <w:rsid w:val="0B04690C"/>
    <w:rsid w:val="0BBF6171"/>
    <w:rsid w:val="0BD47E6F"/>
    <w:rsid w:val="0E8409F1"/>
    <w:rsid w:val="0F5372FC"/>
    <w:rsid w:val="0FE86DDE"/>
    <w:rsid w:val="10134CDE"/>
    <w:rsid w:val="10944070"/>
    <w:rsid w:val="123956DC"/>
    <w:rsid w:val="132D5531"/>
    <w:rsid w:val="132D5C70"/>
    <w:rsid w:val="14643482"/>
    <w:rsid w:val="14BC1DE8"/>
    <w:rsid w:val="15582EE8"/>
    <w:rsid w:val="162419BE"/>
    <w:rsid w:val="16E15B36"/>
    <w:rsid w:val="17FE052C"/>
    <w:rsid w:val="181C1A30"/>
    <w:rsid w:val="185B5474"/>
    <w:rsid w:val="1B326960"/>
    <w:rsid w:val="1C220EAA"/>
    <w:rsid w:val="1E81143E"/>
    <w:rsid w:val="1E9318D2"/>
    <w:rsid w:val="1F067090"/>
    <w:rsid w:val="22B20386"/>
    <w:rsid w:val="23290648"/>
    <w:rsid w:val="23F73650"/>
    <w:rsid w:val="257769D2"/>
    <w:rsid w:val="257C40C8"/>
    <w:rsid w:val="25A35880"/>
    <w:rsid w:val="27272151"/>
    <w:rsid w:val="27B16E5E"/>
    <w:rsid w:val="286133E5"/>
    <w:rsid w:val="289463E4"/>
    <w:rsid w:val="28F214DC"/>
    <w:rsid w:val="294F38C5"/>
    <w:rsid w:val="29935664"/>
    <w:rsid w:val="2A9E64BF"/>
    <w:rsid w:val="2AEA0A59"/>
    <w:rsid w:val="2CF66EF2"/>
    <w:rsid w:val="2CFA059F"/>
    <w:rsid w:val="2D2059B0"/>
    <w:rsid w:val="2EC8145A"/>
    <w:rsid w:val="2EFB560D"/>
    <w:rsid w:val="2F502C6D"/>
    <w:rsid w:val="2F884949"/>
    <w:rsid w:val="308819B0"/>
    <w:rsid w:val="308D4252"/>
    <w:rsid w:val="3127719B"/>
    <w:rsid w:val="321921D0"/>
    <w:rsid w:val="329B5526"/>
    <w:rsid w:val="364610BA"/>
    <w:rsid w:val="366652B8"/>
    <w:rsid w:val="37636FAB"/>
    <w:rsid w:val="39FB26C8"/>
    <w:rsid w:val="39FD591B"/>
    <w:rsid w:val="3A6C5593"/>
    <w:rsid w:val="3D194CF6"/>
    <w:rsid w:val="3E104487"/>
    <w:rsid w:val="3E57313A"/>
    <w:rsid w:val="3E5C67BA"/>
    <w:rsid w:val="3FB672B0"/>
    <w:rsid w:val="40311978"/>
    <w:rsid w:val="41D719E3"/>
    <w:rsid w:val="42383D2D"/>
    <w:rsid w:val="42F114A1"/>
    <w:rsid w:val="431A1904"/>
    <w:rsid w:val="46270935"/>
    <w:rsid w:val="46761547"/>
    <w:rsid w:val="46AF21E6"/>
    <w:rsid w:val="46B84AC2"/>
    <w:rsid w:val="46F26E20"/>
    <w:rsid w:val="476A10AC"/>
    <w:rsid w:val="477C5972"/>
    <w:rsid w:val="48B16866"/>
    <w:rsid w:val="4A7770F5"/>
    <w:rsid w:val="4BF47196"/>
    <w:rsid w:val="4C192D70"/>
    <w:rsid w:val="4C6065D9"/>
    <w:rsid w:val="4C7E7919"/>
    <w:rsid w:val="4D243827"/>
    <w:rsid w:val="4D37395C"/>
    <w:rsid w:val="4FC92C8C"/>
    <w:rsid w:val="52036F18"/>
    <w:rsid w:val="52132935"/>
    <w:rsid w:val="52A35472"/>
    <w:rsid w:val="52E86C1C"/>
    <w:rsid w:val="52F43A32"/>
    <w:rsid w:val="53605111"/>
    <w:rsid w:val="53FB4AF4"/>
    <w:rsid w:val="540957A8"/>
    <w:rsid w:val="56936B3D"/>
    <w:rsid w:val="5814758F"/>
    <w:rsid w:val="592F6BDD"/>
    <w:rsid w:val="5C4760D9"/>
    <w:rsid w:val="5D3B32C7"/>
    <w:rsid w:val="5E8F193F"/>
    <w:rsid w:val="5F294F51"/>
    <w:rsid w:val="5F6B6EBA"/>
    <w:rsid w:val="624837BF"/>
    <w:rsid w:val="631A52DC"/>
    <w:rsid w:val="63545128"/>
    <w:rsid w:val="656E7BE6"/>
    <w:rsid w:val="65DF2A5C"/>
    <w:rsid w:val="65FF1E7B"/>
    <w:rsid w:val="67A96C2F"/>
    <w:rsid w:val="67BA52E0"/>
    <w:rsid w:val="67C9107F"/>
    <w:rsid w:val="69D65CD5"/>
    <w:rsid w:val="6A0D62A2"/>
    <w:rsid w:val="6A1A7D6C"/>
    <w:rsid w:val="6BDE1A6E"/>
    <w:rsid w:val="6FB72105"/>
    <w:rsid w:val="714A2DF8"/>
    <w:rsid w:val="727550E7"/>
    <w:rsid w:val="727A7B45"/>
    <w:rsid w:val="731079E0"/>
    <w:rsid w:val="7346328D"/>
    <w:rsid w:val="74F7040D"/>
    <w:rsid w:val="75504B8E"/>
    <w:rsid w:val="759251A6"/>
    <w:rsid w:val="780662AA"/>
    <w:rsid w:val="785B21C7"/>
    <w:rsid w:val="787248BC"/>
    <w:rsid w:val="795B549A"/>
    <w:rsid w:val="7BD06595"/>
    <w:rsid w:val="7BEF5133"/>
    <w:rsid w:val="7C0F04F7"/>
    <w:rsid w:val="7D1F7C67"/>
    <w:rsid w:val="7F0909B2"/>
    <w:rsid w:val="7FDC44AC"/>
    <w:rsid w:val="7FEF7E6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unhideWhenUsed="0" w:uiPriority="99" w:name="header"/>
    <w:lsdException w:unhideWhenUsed="0" w:uiPriority="99"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nhideWhenUsed="0" w:uiPriority="99" w:name="Hyperlink"/>
    <w:lsdException w:unhideWhenUsed="0" w:uiPriority="99" w:name="FollowedHyperlink"/>
    <w:lsdException w:qFormat="1" w:unhideWhenUsed="0" w:uiPriority="99" w:semiHidden="0" w:name="Strong"/>
    <w:lsdException w:qFormat="1" w:unhideWhenUsed="0" w:uiPriority="99" w:semiHidden="0" w:name="Emphasis"/>
    <w:lsdException w:uiPriority="99" w:name="Document Map" w:locked="1"/>
    <w:lsdException w:uiPriority="99" w:name="Plain Text" w:locked="1"/>
    <w:lsdException w:uiPriority="99" w:name="E-mail Signature" w:locked="1"/>
    <w:lsdException w:unhideWhenUsed="0" w:uiPriority="99" w:name="Normal (Web)"/>
    <w:lsdException w:uiPriority="99" w:name="HTML Acronym" w:locked="1"/>
    <w:lsdException w:uiPriority="99" w:name="HTML Address" w:locked="1"/>
    <w:lsdException w:qFormat="1" w:unhideWhenUsed="0" w:uiPriority="99" w:name="HTML Cite"/>
    <w:lsdException w:unhideWhenUsed="0" w:uiPriority="99" w:name="HTML Code"/>
    <w:lsdException w:unhideWhenUsed="0" w:uiPriority="99" w:name="HTML Definition"/>
    <w:lsdException w:uiPriority="99" w:name="HTML Keyboard" w:locked="1"/>
    <w:lsdException w:uiPriority="99" w:name="HTML Preformatted" w:locked="1"/>
    <w:lsdException w:uiPriority="99" w:name="HTML Sample" w:locked="1"/>
    <w:lsdException w:uiPriority="99" w:name="HTML Typewriter" w:locked="1"/>
    <w:lsdException w:unhideWhenUsed="0" w:uiPriority="99" w:name="HTML Variable"/>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semiHidden="0" w:name="Balloon Text"/>
    <w:lsdException w:unhideWhenUsed="0" w:uiPriority="0"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6"/>
    <w:uiPriority w:val="99"/>
    <w:rPr>
      <w:sz w:val="32"/>
      <w:szCs w:val="18"/>
    </w:rPr>
  </w:style>
  <w:style w:type="paragraph" w:styleId="3">
    <w:name w:val="footer"/>
    <w:basedOn w:val="1"/>
    <w:link w:val="17"/>
    <w:semiHidden/>
    <w:uiPriority w:val="99"/>
    <w:pPr>
      <w:tabs>
        <w:tab w:val="center" w:pos="4153"/>
        <w:tab w:val="right" w:pos="8306"/>
      </w:tabs>
      <w:snapToGrid w:val="0"/>
      <w:jc w:val="left"/>
    </w:pPr>
    <w:rPr>
      <w:sz w:val="18"/>
    </w:rPr>
  </w:style>
  <w:style w:type="paragraph" w:styleId="4">
    <w:name w:val="header"/>
    <w:basedOn w:val="1"/>
    <w:link w:val="18"/>
    <w:semiHidden/>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semiHidden/>
    <w:uiPriority w:val="99"/>
    <w:pPr>
      <w:jc w:val="left"/>
    </w:pPr>
    <w:rPr>
      <w:kern w:val="0"/>
      <w:sz w:val="24"/>
    </w:rPr>
  </w:style>
  <w:style w:type="character" w:styleId="8">
    <w:name w:val="Strong"/>
    <w:basedOn w:val="7"/>
    <w:qFormat/>
    <w:uiPriority w:val="99"/>
    <w:rPr>
      <w:rFonts w:cs="Times New Roman"/>
      <w:b/>
    </w:rPr>
  </w:style>
  <w:style w:type="character" w:styleId="9">
    <w:name w:val="FollowedHyperlink"/>
    <w:basedOn w:val="7"/>
    <w:semiHidden/>
    <w:uiPriority w:val="99"/>
    <w:rPr>
      <w:rFonts w:cs="Times New Roman"/>
      <w:color w:val="000000"/>
      <w:u w:val="none"/>
    </w:rPr>
  </w:style>
  <w:style w:type="character" w:styleId="10">
    <w:name w:val="Emphasis"/>
    <w:basedOn w:val="7"/>
    <w:qFormat/>
    <w:uiPriority w:val="99"/>
    <w:rPr>
      <w:rFonts w:cs="Times New Roman"/>
    </w:rPr>
  </w:style>
  <w:style w:type="character" w:styleId="11">
    <w:name w:val="HTML Definition"/>
    <w:basedOn w:val="7"/>
    <w:semiHidden/>
    <w:uiPriority w:val="99"/>
    <w:rPr>
      <w:rFonts w:cs="Times New Roman"/>
    </w:rPr>
  </w:style>
  <w:style w:type="character" w:styleId="12">
    <w:name w:val="HTML Variable"/>
    <w:basedOn w:val="7"/>
    <w:semiHidden/>
    <w:uiPriority w:val="99"/>
    <w:rPr>
      <w:rFonts w:cs="Times New Roman"/>
    </w:rPr>
  </w:style>
  <w:style w:type="character" w:styleId="13">
    <w:name w:val="Hyperlink"/>
    <w:basedOn w:val="7"/>
    <w:semiHidden/>
    <w:uiPriority w:val="99"/>
    <w:rPr>
      <w:rFonts w:cs="Times New Roman"/>
      <w:color w:val="000000"/>
      <w:u w:val="none"/>
    </w:rPr>
  </w:style>
  <w:style w:type="character" w:styleId="14">
    <w:name w:val="HTML Code"/>
    <w:basedOn w:val="7"/>
    <w:semiHidden/>
    <w:uiPriority w:val="99"/>
    <w:rPr>
      <w:rFonts w:ascii="Courier New" w:hAnsi="Courier New" w:cs="Times New Roman"/>
      <w:sz w:val="20"/>
    </w:rPr>
  </w:style>
  <w:style w:type="character" w:styleId="15">
    <w:name w:val="HTML Cite"/>
    <w:basedOn w:val="7"/>
    <w:semiHidden/>
    <w:qFormat/>
    <w:uiPriority w:val="99"/>
    <w:rPr>
      <w:rFonts w:cs="Times New Roman"/>
    </w:rPr>
  </w:style>
  <w:style w:type="character" w:customStyle="1" w:styleId="16">
    <w:name w:val="Balloon Text Char"/>
    <w:basedOn w:val="7"/>
    <w:link w:val="2"/>
    <w:semiHidden/>
    <w:qFormat/>
    <w:locked/>
    <w:uiPriority w:val="99"/>
    <w:rPr>
      <w:rFonts w:ascii="Calibri" w:hAnsi="Calibri" w:cs="Times New Roman"/>
      <w:sz w:val="2"/>
    </w:rPr>
  </w:style>
  <w:style w:type="character" w:customStyle="1" w:styleId="17">
    <w:name w:val="Footer Char"/>
    <w:basedOn w:val="7"/>
    <w:link w:val="3"/>
    <w:semiHidden/>
    <w:qFormat/>
    <w:locked/>
    <w:uiPriority w:val="99"/>
    <w:rPr>
      <w:rFonts w:ascii="Calibri" w:hAnsi="Calibri" w:cs="Times New Roman"/>
      <w:sz w:val="18"/>
      <w:szCs w:val="18"/>
    </w:rPr>
  </w:style>
  <w:style w:type="character" w:customStyle="1" w:styleId="18">
    <w:name w:val="Header Char"/>
    <w:basedOn w:val="7"/>
    <w:link w:val="4"/>
    <w:semiHidden/>
    <w:qFormat/>
    <w:locked/>
    <w:uiPriority w:val="99"/>
    <w:rPr>
      <w:rFonts w:ascii="Calibri" w:hAnsi="Calibri" w:cs="Times New Roman"/>
      <w:sz w:val="18"/>
      <w:szCs w:val="18"/>
    </w:rPr>
  </w:style>
  <w:style w:type="paragraph" w:styleId="19">
    <w:name w:val="List Paragraph"/>
    <w:basedOn w:val="1"/>
    <w:qFormat/>
    <w:uiPriority w:val="99"/>
    <w:pPr>
      <w:ind w:firstLine="420" w:firstLineChars="200"/>
    </w:pPr>
  </w:style>
  <w:style w:type="character" w:customStyle="1" w:styleId="20">
    <w:name w:val="layui-this"/>
    <w:basedOn w:val="7"/>
    <w:uiPriority w:val="99"/>
    <w:rPr>
      <w:rFonts w:cs="Times New Roman"/>
      <w:bdr w:val="single" w:color="EEEEEE" w:sz="6" w:space="0"/>
      <w:shd w:val="clear" w:color="auto" w:fill="FFFFFF"/>
    </w:rPr>
  </w:style>
  <w:style w:type="character" w:customStyle="1" w:styleId="21">
    <w:name w:val="first-child"/>
    <w:basedOn w:val="7"/>
    <w:uiPriority w:val="99"/>
    <w:rPr>
      <w:rFonts w:cs="Times New Roman"/>
    </w:rPr>
  </w:style>
  <w:style w:type="paragraph" w:styleId="22">
    <w:name w:val="No Spacing"/>
    <w:qFormat/>
    <w:uiPriority w:val="99"/>
    <w:pPr>
      <w:widowControl w:val="0"/>
      <w:jc w:val="both"/>
    </w:pPr>
    <w:rPr>
      <w:rFonts w:ascii="Calibri" w:hAnsi="Calibri"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3</Pages>
  <Words>1181</Words>
  <Characters>1227</Characters>
  <Lines>0</Lines>
  <Paragraphs>0</Paragraphs>
  <TotalTime>162</TotalTime>
  <ScaleCrop>false</ScaleCrop>
  <LinksUpToDate>false</LinksUpToDate>
  <CharactersWithSpaces>1229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2023-09-14T08:35:00Z</dcterms:created>
  <dc:creator>Administrator</dc:creator>
  <cp:lastModifiedBy>Aomi</cp:lastModifiedBy>
  <cp:lastPrinted>2023-02-17T02:29:00Z</cp:lastPrinted>
  <dcterms:modified xsi:type="dcterms:W3CDTF">2024-10-11T09:51:33Z</dcterms:modified>
  <dc:title>长春市二道区2022年预算绩效管理工作</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BFEA5B0F9B844BCBB90F544F5F3DE218</vt:lpwstr>
  </property>
</Properties>
</file>