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1E300">
      <w:pPr>
        <w:spacing w:line="240" w:lineRule="auto"/>
        <w:jc w:val="center"/>
        <w:rPr>
          <w:rFonts w:hint="eastAsia" w:ascii="宋体" w:hAnsi="宋体" w:eastAsia="宋体" w:cs="宋体"/>
          <w:sz w:val="40"/>
          <w:szCs w:val="40"/>
          <w:lang w:val="en-US" w:eastAsia="zh-CN"/>
        </w:rPr>
      </w:pPr>
      <w:r>
        <w:rPr>
          <w:rFonts w:hint="eastAsia" w:ascii="宋体" w:hAnsi="宋体" w:eastAsia="宋体" w:cs="宋体"/>
          <w:sz w:val="40"/>
          <w:szCs w:val="40"/>
          <w:lang w:val="en-US" w:eastAsia="zh-CN"/>
        </w:rPr>
        <w:t>长春市市场监督管理局二道分局2025年度食品销售环节监督检查工作计划</w:t>
      </w:r>
    </w:p>
    <w:tbl>
      <w:tblPr>
        <w:tblStyle w:val="5"/>
        <w:tblpPr w:leftFromText="180" w:rightFromText="180" w:vertAnchor="text" w:horzAnchor="page" w:tblpX="571" w:tblpY="299"/>
        <w:tblOverlap w:val="never"/>
        <w:tblW w:w="159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17"/>
        <w:gridCol w:w="4083"/>
        <w:gridCol w:w="3810"/>
        <w:gridCol w:w="2640"/>
        <w:gridCol w:w="733"/>
        <w:gridCol w:w="2247"/>
      </w:tblGrid>
      <w:tr w14:paraId="787F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trPr>
        <w:tc>
          <w:tcPr>
            <w:tcW w:w="733" w:type="dxa"/>
            <w:tcBorders>
              <w:top w:val="single" w:color="auto" w:sz="4" w:space="0"/>
              <w:left w:val="single" w:color="auto" w:sz="4" w:space="0"/>
              <w:bottom w:val="single" w:color="auto" w:sz="4" w:space="0"/>
              <w:right w:val="single" w:color="auto" w:sz="4" w:space="0"/>
            </w:tcBorders>
            <w:noWrap w:val="0"/>
            <w:vAlign w:val="center"/>
          </w:tcPr>
          <w:p w14:paraId="7E5C82B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序号</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7381EE9D">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方式</w:t>
            </w:r>
          </w:p>
        </w:tc>
        <w:tc>
          <w:tcPr>
            <w:tcW w:w="4083" w:type="dxa"/>
            <w:tcBorders>
              <w:top w:val="single" w:color="auto" w:sz="4" w:space="0"/>
              <w:left w:val="single" w:color="auto" w:sz="4" w:space="0"/>
              <w:bottom w:val="single" w:color="auto" w:sz="4" w:space="0"/>
              <w:right w:val="single" w:color="auto" w:sz="4" w:space="0"/>
            </w:tcBorders>
            <w:noWrap w:val="0"/>
            <w:vAlign w:val="center"/>
          </w:tcPr>
          <w:p w14:paraId="3AAB2D1A">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检查对象</w:t>
            </w:r>
          </w:p>
        </w:tc>
        <w:tc>
          <w:tcPr>
            <w:tcW w:w="3810" w:type="dxa"/>
            <w:tcBorders>
              <w:top w:val="single" w:color="auto" w:sz="4" w:space="0"/>
              <w:left w:val="single" w:color="auto" w:sz="4" w:space="0"/>
              <w:bottom w:val="single" w:color="auto" w:sz="4" w:space="0"/>
              <w:right w:val="single" w:color="auto" w:sz="4" w:space="0"/>
            </w:tcBorders>
            <w:noWrap w:val="0"/>
            <w:vAlign w:val="center"/>
          </w:tcPr>
          <w:p w14:paraId="409ED01E">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检查内容</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558A8ED5">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检查频次</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40C92A43">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时限</w:t>
            </w:r>
          </w:p>
        </w:tc>
        <w:tc>
          <w:tcPr>
            <w:tcW w:w="2247" w:type="dxa"/>
            <w:tcBorders>
              <w:top w:val="single" w:color="auto" w:sz="4" w:space="0"/>
              <w:left w:val="single" w:color="auto" w:sz="4" w:space="0"/>
              <w:bottom w:val="single" w:color="auto" w:sz="4" w:space="0"/>
              <w:right w:val="single" w:color="auto" w:sz="4" w:space="0"/>
            </w:tcBorders>
            <w:noWrap w:val="0"/>
            <w:vAlign w:val="center"/>
          </w:tcPr>
          <w:p w14:paraId="1E03691C">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责任部门</w:t>
            </w:r>
          </w:p>
        </w:tc>
      </w:tr>
      <w:tr w14:paraId="26ED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9" w:hRule="atLeast"/>
        </w:trPr>
        <w:tc>
          <w:tcPr>
            <w:tcW w:w="733" w:type="dxa"/>
            <w:tcBorders>
              <w:top w:val="single" w:color="auto" w:sz="4" w:space="0"/>
              <w:left w:val="single" w:color="auto" w:sz="4" w:space="0"/>
              <w:bottom w:val="single" w:color="auto" w:sz="4" w:space="0"/>
              <w:right w:val="single" w:color="auto" w:sz="4" w:space="0"/>
            </w:tcBorders>
            <w:noWrap w:val="0"/>
            <w:vAlign w:val="center"/>
          </w:tcPr>
          <w:p w14:paraId="6B18751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6313143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日常监督检查</w:t>
            </w:r>
          </w:p>
        </w:tc>
        <w:tc>
          <w:tcPr>
            <w:tcW w:w="4083" w:type="dxa"/>
            <w:tcBorders>
              <w:top w:val="single" w:color="auto" w:sz="4" w:space="0"/>
              <w:left w:val="single" w:color="auto" w:sz="4" w:space="0"/>
              <w:bottom w:val="single" w:color="auto" w:sz="4" w:space="0"/>
              <w:right w:val="single" w:color="auto" w:sz="4" w:space="0"/>
            </w:tcBorders>
            <w:noWrap w:val="0"/>
            <w:vAlign w:val="center"/>
          </w:tcPr>
          <w:p w14:paraId="1035F71D">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食品及食品添加剂（含食用农产品，下同）销售者，食品集中交易市场开办者、柜台出租者、展销会举办者，</w:t>
            </w:r>
            <w:r>
              <w:rPr>
                <w:rFonts w:hint="eastAsia" w:cs="宋体"/>
                <w:sz w:val="20"/>
                <w:szCs w:val="20"/>
                <w:lang w:val="en-US" w:eastAsia="zh-CN"/>
              </w:rPr>
              <w:t>自建网站食品销售者</w:t>
            </w:r>
            <w:r>
              <w:rPr>
                <w:rFonts w:hint="eastAsia" w:ascii="宋体" w:hAnsi="宋体" w:eastAsia="宋体" w:cs="宋体"/>
                <w:sz w:val="20"/>
                <w:szCs w:val="20"/>
                <w:lang w:val="en-US" w:eastAsia="zh-CN"/>
              </w:rPr>
              <w:t>，第三方冷库等从事食品贮存业务的非食品销售者，小食杂店，食品销售摊贩</w:t>
            </w:r>
            <w:r>
              <w:rPr>
                <w:rFonts w:hint="eastAsia" w:cs="宋体"/>
                <w:sz w:val="20"/>
                <w:szCs w:val="20"/>
                <w:lang w:val="en-US" w:eastAsia="zh-CN"/>
              </w:rPr>
              <w:t>及</w:t>
            </w:r>
            <w:r>
              <w:rPr>
                <w:rFonts w:hint="eastAsia" w:ascii="宋体" w:hAnsi="宋体" w:eastAsia="宋体" w:cs="宋体"/>
                <w:sz w:val="20"/>
                <w:szCs w:val="20"/>
                <w:lang w:val="en-US" w:eastAsia="zh-CN"/>
              </w:rPr>
              <w:t>法律、法规、规章等确定的与食品销售监管有关的行政管理相对人。</w:t>
            </w:r>
          </w:p>
        </w:tc>
        <w:tc>
          <w:tcPr>
            <w:tcW w:w="3810" w:type="dxa"/>
            <w:tcBorders>
              <w:top w:val="single" w:color="auto" w:sz="4" w:space="0"/>
              <w:left w:val="single" w:color="auto" w:sz="4" w:space="0"/>
              <w:bottom w:val="single" w:color="auto" w:sz="4" w:space="0"/>
              <w:right w:val="single" w:color="auto" w:sz="4" w:space="0"/>
            </w:tcBorders>
            <w:noWrap w:val="0"/>
            <w:vAlign w:val="center"/>
          </w:tcPr>
          <w:p w14:paraId="5284198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1.食品安全风险管控清单制定、食品安全总监、食品安全员设立及履职尽责情况；</w:t>
            </w:r>
          </w:p>
          <w:p w14:paraId="19EE9BD7">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2.食品安全自查、进货查验、温度全程控制、购销过程控制、贮存过程控制等食品安全管控情况；</w:t>
            </w:r>
          </w:p>
          <w:p w14:paraId="7B9CEBA5">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3.销售标注“特供”、“专供”、“专用”、“特制”、“特需”等字样的白酒</w:t>
            </w:r>
            <w:r>
              <w:rPr>
                <w:rFonts w:hint="eastAsia" w:ascii="宋体" w:hAnsi="宋体" w:eastAsia="宋体" w:cs="宋体"/>
                <w:sz w:val="20"/>
                <w:szCs w:val="20"/>
                <w:lang w:val="zh-CN" w:eastAsia="zh-CN"/>
              </w:rPr>
              <w:t>等法律法规禁止销售食品违法违规情况</w:t>
            </w:r>
            <w:r>
              <w:rPr>
                <w:rFonts w:hint="eastAsia" w:ascii="宋体" w:hAnsi="宋体" w:eastAsia="宋体" w:cs="宋体"/>
                <w:sz w:val="20"/>
                <w:szCs w:val="20"/>
                <w:lang w:val="en-US" w:eastAsia="zh-CN"/>
              </w:rPr>
              <w:t>；</w:t>
            </w:r>
          </w:p>
          <w:p w14:paraId="5E184E95">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4.从事冷藏冷冻食品贮存业务的非食品销售者履行食品安全主体责任情况；</w:t>
            </w:r>
          </w:p>
          <w:p w14:paraId="070AAAA9">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5.自查、监督抽检、监督检查、投诉举报、包保干部督导等环节发现问题整改情况；6.食用农产品销售者落实《食用农产品市场销售质量安全监督管理办法》情况。</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0E7EB03A">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对较高风险销售者的监管优先于较低风险销售者的监管，原则上每两年对本行政区域内所有食品销售者至少进行一次覆盖全部检查要点的监督检查。对本年度新登记的小食杂店，应在取得许可、备案或登记之日起一个月内实施至少1次日常监督检查。</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1FAA92AE">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r>
              <w:rPr>
                <w:rFonts w:hint="eastAsia" w:cs="宋体"/>
                <w:sz w:val="20"/>
                <w:szCs w:val="20"/>
                <w:lang w:val="en-US" w:eastAsia="zh-CN"/>
              </w:rPr>
              <w:t>2</w:t>
            </w:r>
            <w:r>
              <w:rPr>
                <w:rFonts w:hint="eastAsia" w:ascii="宋体" w:hAnsi="宋体" w:eastAsia="宋体" w:cs="宋体"/>
                <w:sz w:val="20"/>
                <w:szCs w:val="20"/>
                <w:lang w:val="en-US" w:eastAsia="zh-CN"/>
              </w:rPr>
              <w:t>月底前</w:t>
            </w:r>
          </w:p>
        </w:tc>
        <w:tc>
          <w:tcPr>
            <w:tcW w:w="2247" w:type="dxa"/>
            <w:tcBorders>
              <w:top w:val="single" w:color="auto" w:sz="4" w:space="0"/>
              <w:left w:val="single" w:color="auto" w:sz="4" w:space="0"/>
              <w:bottom w:val="single" w:color="auto" w:sz="4" w:space="0"/>
              <w:right w:val="single" w:color="auto" w:sz="4" w:space="0"/>
            </w:tcBorders>
            <w:noWrap w:val="0"/>
            <w:vAlign w:val="center"/>
          </w:tcPr>
          <w:p w14:paraId="632026D6">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各市场监管所结合实际组织开展检查</w:t>
            </w:r>
            <w:r>
              <w:rPr>
                <w:rFonts w:hint="eastAsia" w:cs="宋体"/>
                <w:sz w:val="20"/>
                <w:szCs w:val="20"/>
                <w:lang w:val="en-US" w:eastAsia="zh-CN"/>
              </w:rPr>
              <w:t>。</w:t>
            </w:r>
          </w:p>
        </w:tc>
      </w:tr>
      <w:tr w14:paraId="7968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4" w:hRule="atLeast"/>
        </w:trPr>
        <w:tc>
          <w:tcPr>
            <w:tcW w:w="733" w:type="dxa"/>
            <w:tcBorders>
              <w:top w:val="single" w:color="auto" w:sz="4" w:space="0"/>
              <w:left w:val="single" w:color="auto" w:sz="4" w:space="0"/>
              <w:bottom w:val="single" w:color="auto" w:sz="4" w:space="0"/>
              <w:right w:val="single" w:color="auto" w:sz="4" w:space="0"/>
            </w:tcBorders>
            <w:noWrap w:val="0"/>
            <w:vAlign w:val="center"/>
          </w:tcPr>
          <w:p w14:paraId="49669A45">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2D9D0CCF">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整治农村假冒伪劣食品问题专项行动（食品销售环节）</w:t>
            </w:r>
          </w:p>
        </w:tc>
        <w:tc>
          <w:tcPr>
            <w:tcW w:w="4083" w:type="dxa"/>
            <w:tcBorders>
              <w:top w:val="single" w:color="auto" w:sz="4" w:space="0"/>
              <w:left w:val="single" w:color="auto" w:sz="4" w:space="0"/>
              <w:bottom w:val="single" w:color="auto" w:sz="4" w:space="0"/>
              <w:right w:val="single" w:color="auto" w:sz="4" w:space="0"/>
            </w:tcBorders>
            <w:noWrap w:val="0"/>
            <w:vAlign w:val="center"/>
          </w:tcPr>
          <w:p w14:paraId="4B484A5F">
            <w:pPr>
              <w:pStyle w:val="2"/>
              <w:widowControl/>
              <w:numPr>
                <w:ilvl w:val="0"/>
                <w:numId w:val="0"/>
              </w:numPr>
              <w:autoSpaceDE w:val="0"/>
              <w:autoSpaceDN w:val="0"/>
              <w:adjustRightInd w:val="0"/>
              <w:spacing w:before="120" w:beforeLines="0" w:afterLines="0"/>
              <w:jc w:val="center"/>
              <w:rPr>
                <w:rFonts w:hint="eastAsia" w:ascii="宋体" w:hAnsi="宋体" w:eastAsia="宋体" w:cs="宋体"/>
                <w:sz w:val="20"/>
                <w:szCs w:val="20"/>
                <w:lang w:val="en-US" w:eastAsia="zh-CN"/>
              </w:rPr>
            </w:pPr>
            <w:r>
              <w:rPr>
                <w:rFonts w:hint="eastAsia" w:ascii="宋体" w:hAnsi="宋体" w:eastAsia="宋体" w:cs="宋体"/>
                <w:kern w:val="0"/>
                <w:sz w:val="20"/>
                <w:szCs w:val="20"/>
                <w:lang w:val="en-US" w:eastAsia="zh-CN"/>
              </w:rPr>
              <w:t>重点对象：农村地区小商店、小摊点、小商贩等食品</w:t>
            </w:r>
            <w:r>
              <w:rPr>
                <w:rFonts w:hint="eastAsia" w:ascii="宋体" w:hAnsi="宋体" w:cs="宋体"/>
                <w:kern w:val="0"/>
                <w:sz w:val="20"/>
                <w:szCs w:val="20"/>
                <w:lang w:val="en-US" w:eastAsia="zh-CN"/>
              </w:rPr>
              <w:t>销售</w:t>
            </w:r>
            <w:bookmarkStart w:id="0" w:name="_GoBack"/>
            <w:bookmarkEnd w:id="0"/>
            <w:r>
              <w:rPr>
                <w:rFonts w:hint="eastAsia" w:ascii="宋体" w:hAnsi="宋体" w:eastAsia="宋体" w:cs="宋体"/>
                <w:kern w:val="0"/>
                <w:sz w:val="20"/>
                <w:szCs w:val="20"/>
                <w:lang w:val="en-US" w:eastAsia="zh-CN"/>
              </w:rPr>
              <w:t>主体和农村集市、食品批发市场，电商平台、直播平台、农产品交易平台</w:t>
            </w:r>
            <w:r>
              <w:rPr>
                <w:rFonts w:hint="eastAsia" w:ascii="宋体" w:hAnsi="宋体" w:cs="宋体"/>
                <w:kern w:val="0"/>
                <w:sz w:val="20"/>
                <w:szCs w:val="20"/>
                <w:lang w:val="en-US" w:eastAsia="zh-CN"/>
              </w:rPr>
              <w:t>等入网食品销售者</w:t>
            </w:r>
            <w:r>
              <w:rPr>
                <w:rFonts w:hint="eastAsia" w:ascii="宋体" w:hAnsi="宋体" w:eastAsia="宋体" w:cs="宋体"/>
                <w:kern w:val="0"/>
                <w:sz w:val="20"/>
                <w:szCs w:val="20"/>
                <w:lang w:val="en-US" w:eastAsia="zh-CN"/>
              </w:rPr>
              <w:t>。</w:t>
            </w:r>
          </w:p>
        </w:tc>
        <w:tc>
          <w:tcPr>
            <w:tcW w:w="3810" w:type="dxa"/>
            <w:tcBorders>
              <w:top w:val="single" w:color="auto" w:sz="4" w:space="0"/>
              <w:left w:val="single" w:color="auto" w:sz="4" w:space="0"/>
              <w:bottom w:val="single" w:color="auto" w:sz="4" w:space="0"/>
              <w:right w:val="single" w:color="auto" w:sz="4" w:space="0"/>
            </w:tcBorders>
            <w:noWrap w:val="0"/>
            <w:vAlign w:val="center"/>
          </w:tcPr>
          <w:p w14:paraId="5B9714AF">
            <w:pPr>
              <w:pStyle w:val="2"/>
              <w:widowControl/>
              <w:numPr>
                <w:ilvl w:val="0"/>
                <w:numId w:val="0"/>
              </w:numPr>
              <w:autoSpaceDE w:val="0"/>
              <w:autoSpaceDN w:val="0"/>
              <w:adjustRightInd w:val="0"/>
              <w:spacing w:before="120" w:beforeLines="0" w:afterLines="0"/>
              <w:jc w:val="center"/>
              <w:rPr>
                <w:rFonts w:hint="eastAsia" w:ascii="宋体" w:hAnsi="宋体" w:eastAsia="宋体" w:cs="宋体"/>
                <w:sz w:val="20"/>
                <w:szCs w:val="20"/>
                <w:lang w:val="en-US" w:eastAsia="zh-CN"/>
              </w:rPr>
            </w:pPr>
            <w:r>
              <w:rPr>
                <w:rFonts w:hint="eastAsia" w:cs="宋体"/>
                <w:sz w:val="20"/>
                <w:szCs w:val="20"/>
                <w:lang w:val="en-US" w:eastAsia="zh-CN"/>
              </w:rPr>
              <w:t>1.</w:t>
            </w:r>
            <w:r>
              <w:rPr>
                <w:rFonts w:hint="eastAsia" w:ascii="宋体" w:hAnsi="宋体" w:eastAsia="宋体" w:cs="宋体"/>
                <w:kern w:val="0"/>
                <w:sz w:val="20"/>
                <w:szCs w:val="20"/>
                <w:lang w:val="en-US" w:eastAsia="zh-CN"/>
              </w:rPr>
              <w:t>重点品类：方便食品、休闲食品、食用植物油、酒水饮料、调味品、乳及乳制品、肉及肉制品等农村地区消费量大的食品品类。</w:t>
            </w:r>
            <w:r>
              <w:rPr>
                <w:rFonts w:hint="eastAsia" w:ascii="宋体" w:hAnsi="宋体" w:eastAsia="宋体" w:cs="宋体"/>
                <w:sz w:val="20"/>
                <w:szCs w:val="20"/>
                <w:lang w:val="en-US" w:eastAsia="zh-CN"/>
              </w:rPr>
              <w:t>集中整治“三无”食品（无生产厂家、无生产日期、无生产许可）；冒充食品（冒用他人厂名、厂址、商标、标识、生产许可证号等信息）；“山寨”食品（食品包装标识、文字图案等模仿其他品牌食品，误导消费者）；劣质食品（以次充好、不符合国家食品安全标准等）；违法宣传（明示或暗示具有疾病预防治疗等功效）；销售超过保质期食品等问题。</w:t>
            </w:r>
          </w:p>
          <w:p w14:paraId="39A6078C">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2.</w:t>
            </w:r>
            <w:r>
              <w:rPr>
                <w:rFonts w:hint="eastAsia" w:ascii="宋体" w:hAnsi="宋体" w:eastAsia="宋体" w:cs="宋体"/>
                <w:sz w:val="20"/>
                <w:szCs w:val="20"/>
                <w:lang w:val="en-US" w:eastAsia="zh-CN"/>
              </w:rPr>
              <w:t>按照线上线下同标准原则，严查</w:t>
            </w:r>
            <w:r>
              <w:rPr>
                <w:rFonts w:hint="eastAsia" w:cs="宋体"/>
                <w:sz w:val="20"/>
                <w:szCs w:val="20"/>
                <w:lang w:val="en-US" w:eastAsia="zh-CN"/>
              </w:rPr>
              <w:t>入</w:t>
            </w:r>
            <w:r>
              <w:rPr>
                <w:rFonts w:hint="eastAsia" w:ascii="宋体" w:hAnsi="宋体" w:eastAsia="宋体" w:cs="宋体"/>
                <w:sz w:val="20"/>
                <w:szCs w:val="20"/>
                <w:lang w:val="en-US" w:eastAsia="zh-CN"/>
              </w:rPr>
              <w:t>网食品经营者经营</w:t>
            </w:r>
            <w:r>
              <w:rPr>
                <w:rFonts w:hint="eastAsia" w:cs="宋体"/>
                <w:sz w:val="20"/>
                <w:szCs w:val="20"/>
                <w:lang w:val="en-US" w:eastAsia="zh-CN"/>
              </w:rPr>
              <w:t>假冒伪劣等问题食品</w:t>
            </w:r>
            <w:r>
              <w:rPr>
                <w:rFonts w:hint="eastAsia" w:ascii="宋体" w:hAnsi="宋体" w:eastAsia="宋体" w:cs="宋体"/>
                <w:sz w:val="20"/>
                <w:szCs w:val="20"/>
                <w:lang w:val="en-US" w:eastAsia="zh-CN"/>
              </w:rPr>
              <w:t>；</w:t>
            </w:r>
          </w:p>
          <w:p w14:paraId="77DF4580">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3.分局组织督导和“回头看”。</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2FBD6E8B">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1.</w:t>
            </w:r>
            <w:r>
              <w:rPr>
                <w:rFonts w:hint="eastAsia" w:ascii="宋体" w:hAnsi="宋体" w:eastAsia="宋体" w:cs="宋体"/>
                <w:sz w:val="20"/>
                <w:szCs w:val="20"/>
                <w:lang w:val="en-US" w:eastAsia="zh-CN"/>
              </w:rPr>
              <w:t>确保食品经营者全部知晓专项整治工作精神；</w:t>
            </w:r>
          </w:p>
          <w:p w14:paraId="2BE4B5EA">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2.每月调度工作进展，</w:t>
            </w:r>
            <w:r>
              <w:rPr>
                <w:rFonts w:hint="eastAsia" w:ascii="宋体" w:hAnsi="宋体" w:eastAsia="宋体" w:cs="宋体"/>
                <w:sz w:val="20"/>
                <w:szCs w:val="20"/>
                <w:lang w:val="en-US" w:eastAsia="zh-CN"/>
              </w:rPr>
              <w:t>发现一家整治一家、查处一家、规范一家，对证据确凿的移交执法条线；</w:t>
            </w:r>
          </w:p>
          <w:p w14:paraId="40DEFC1A">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3.分局组织督导检查，通过核实《食品生产经营监督检查结果记录表》，确认是否做到全覆盖检查。</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03BA82A2">
            <w:pPr>
              <w:spacing w:line="240" w:lineRule="auto"/>
              <w:jc w:val="center"/>
              <w:rPr>
                <w:rFonts w:hint="default" w:ascii="宋体" w:hAnsi="宋体" w:eastAsia="宋体" w:cs="宋体"/>
                <w:sz w:val="20"/>
                <w:szCs w:val="20"/>
                <w:lang w:val="en-US" w:eastAsia="zh-CN"/>
              </w:rPr>
            </w:pPr>
            <w:r>
              <w:rPr>
                <w:rFonts w:hint="eastAsia" w:cs="宋体"/>
                <w:sz w:val="20"/>
                <w:szCs w:val="20"/>
                <w:lang w:val="en-US" w:eastAsia="zh-CN"/>
              </w:rPr>
              <w:t>12</w:t>
            </w:r>
            <w:r>
              <w:rPr>
                <w:rFonts w:hint="eastAsia" w:ascii="宋体" w:hAnsi="宋体" w:eastAsia="宋体" w:cs="宋体"/>
                <w:sz w:val="20"/>
                <w:szCs w:val="20"/>
                <w:lang w:val="en-US" w:eastAsia="zh-CN"/>
              </w:rPr>
              <w:t>月底前</w:t>
            </w:r>
          </w:p>
        </w:tc>
        <w:tc>
          <w:tcPr>
            <w:tcW w:w="2247" w:type="dxa"/>
            <w:tcBorders>
              <w:top w:val="single" w:color="auto" w:sz="4" w:space="0"/>
              <w:left w:val="single" w:color="auto" w:sz="4" w:space="0"/>
              <w:bottom w:val="single" w:color="auto" w:sz="4" w:space="0"/>
              <w:right w:val="single" w:color="auto" w:sz="4" w:space="0"/>
            </w:tcBorders>
            <w:noWrap w:val="0"/>
            <w:vAlign w:val="center"/>
          </w:tcPr>
          <w:p w14:paraId="7DAF44A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分局制定工作方案并组织督导；各市场监管所结合实际认真落实方案要求。</w:t>
            </w:r>
          </w:p>
        </w:tc>
      </w:tr>
      <w:tr w14:paraId="0088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5" w:hRule="atLeast"/>
        </w:trPr>
        <w:tc>
          <w:tcPr>
            <w:tcW w:w="733" w:type="dxa"/>
            <w:tcBorders>
              <w:top w:val="single" w:color="auto" w:sz="4" w:space="0"/>
              <w:left w:val="single" w:color="auto" w:sz="4" w:space="0"/>
              <w:bottom w:val="single" w:color="auto" w:sz="4" w:space="0"/>
              <w:right w:val="single" w:color="auto" w:sz="4" w:space="0"/>
            </w:tcBorders>
            <w:noWrap w:val="0"/>
            <w:vAlign w:val="center"/>
          </w:tcPr>
          <w:p w14:paraId="0B2614E2">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1717" w:type="dxa"/>
            <w:tcBorders>
              <w:top w:val="single" w:color="auto" w:sz="4" w:space="0"/>
              <w:left w:val="single" w:color="auto" w:sz="4" w:space="0"/>
              <w:right w:val="single" w:color="auto" w:sz="4" w:space="0"/>
            </w:tcBorders>
            <w:noWrap w:val="0"/>
            <w:vAlign w:val="center"/>
          </w:tcPr>
          <w:p w14:paraId="2076DF9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集中整治</w:t>
            </w:r>
          </w:p>
        </w:tc>
        <w:tc>
          <w:tcPr>
            <w:tcW w:w="4083" w:type="dxa"/>
            <w:tcBorders>
              <w:top w:val="single" w:color="auto" w:sz="4" w:space="0"/>
              <w:left w:val="single" w:color="auto" w:sz="4" w:space="0"/>
              <w:right w:val="single" w:color="auto" w:sz="4" w:space="0"/>
            </w:tcBorders>
            <w:noWrap w:val="0"/>
            <w:vAlign w:val="center"/>
          </w:tcPr>
          <w:p w14:paraId="1CB59E1C">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1.</w:t>
            </w:r>
            <w:r>
              <w:rPr>
                <w:rFonts w:hint="eastAsia" w:ascii="宋体" w:hAnsi="宋体" w:eastAsia="宋体" w:cs="宋体"/>
                <w:sz w:val="20"/>
                <w:szCs w:val="20"/>
                <w:lang w:val="en-US" w:eastAsia="zh-CN"/>
              </w:rPr>
              <w:t>重点检查区域。农村及城乡结合部、校园周边、节假日人流密集处（如旅游景区、高速公路服务区等）及食品集中交易场所。</w:t>
            </w:r>
          </w:p>
          <w:p w14:paraId="1A7225A3">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2.</w:t>
            </w:r>
            <w:r>
              <w:rPr>
                <w:rFonts w:hint="eastAsia" w:ascii="宋体" w:hAnsi="宋体" w:eastAsia="宋体" w:cs="宋体"/>
                <w:sz w:val="20"/>
                <w:szCs w:val="20"/>
                <w:lang w:val="en-US" w:eastAsia="zh-CN"/>
              </w:rPr>
              <w:t>重点检查对象。农村地区食品销售者、学校及周边食品销售者、食品集中交易市场及大型食品销售企业、从事冷藏冷冻食品贮存业务的非食品销售者、网络食品销售者、投诉举报较多或曾出现违法违规经营行为等发生食品安全事故风险较高的食品销售者。</w:t>
            </w:r>
          </w:p>
          <w:p w14:paraId="4F538A44">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3.</w:t>
            </w:r>
            <w:r>
              <w:rPr>
                <w:rFonts w:hint="eastAsia" w:ascii="宋体" w:hAnsi="宋体" w:eastAsia="宋体" w:cs="宋体"/>
                <w:sz w:val="20"/>
                <w:szCs w:val="20"/>
                <w:lang w:val="en-US" w:eastAsia="zh-CN"/>
              </w:rPr>
              <w:t>重点检查品种。“12+8”重点问题食用农产品、肉及肉制品、冷藏冷冻食品、节日热销食品、散装食品、酒类、奶粉、食用植物油、食品添加剂、进口食品、历年监督抽检和风险监测中问题较多的食品。</w:t>
            </w:r>
          </w:p>
          <w:p w14:paraId="63BC8854">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4.</w:t>
            </w:r>
            <w:r>
              <w:rPr>
                <w:rFonts w:hint="eastAsia" w:ascii="宋体" w:hAnsi="宋体" w:eastAsia="宋体" w:cs="宋体"/>
                <w:sz w:val="20"/>
                <w:szCs w:val="20"/>
                <w:lang w:val="en-US" w:eastAsia="zh-CN"/>
              </w:rPr>
              <w:t>重点检查时段。各类重大活动举办期、“两考”期间及校园开学季、“中秋、十一”等重要节假日、旅游旺季及季节转换期。</w:t>
            </w:r>
          </w:p>
        </w:tc>
        <w:tc>
          <w:tcPr>
            <w:tcW w:w="3810" w:type="dxa"/>
            <w:tcBorders>
              <w:top w:val="single" w:color="auto" w:sz="4" w:space="0"/>
              <w:left w:val="single" w:color="auto" w:sz="4" w:space="0"/>
              <w:right w:val="single" w:color="auto" w:sz="4" w:space="0"/>
            </w:tcBorders>
            <w:noWrap w:val="0"/>
            <w:vAlign w:val="center"/>
          </w:tcPr>
          <w:p w14:paraId="23599869">
            <w:pPr>
              <w:numPr>
                <w:ilvl w:val="0"/>
                <w:numId w:val="1"/>
              </w:num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进货查验、索证索票、定期自查、销售贮存过程控制等关键环节食品安全管控情况；</w:t>
            </w:r>
          </w:p>
          <w:p w14:paraId="423CD568">
            <w:pPr>
              <w:numPr>
                <w:ilvl w:val="0"/>
                <w:numId w:val="1"/>
              </w:numPr>
              <w:spacing w:line="240" w:lineRule="auto"/>
              <w:ind w:left="0" w:leftChars="0" w:firstLine="0" w:firstLineChars="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销售“三无”、“山寨”、假冒伪劣问题食品</w:t>
            </w:r>
            <w:r>
              <w:rPr>
                <w:rFonts w:hint="eastAsia" w:ascii="宋体" w:hAnsi="宋体" w:eastAsia="宋体" w:cs="宋体"/>
                <w:sz w:val="20"/>
                <w:szCs w:val="20"/>
                <w:lang w:val="zh-CN" w:eastAsia="zh-CN"/>
              </w:rPr>
              <w:t>等法律法规禁止销售食品的违法违规情况</w:t>
            </w:r>
            <w:r>
              <w:rPr>
                <w:rFonts w:hint="eastAsia" w:ascii="宋体" w:hAnsi="宋体" w:eastAsia="宋体" w:cs="宋体"/>
                <w:sz w:val="20"/>
                <w:szCs w:val="20"/>
                <w:lang w:val="en-US" w:eastAsia="zh-CN"/>
              </w:rPr>
              <w:t>；</w:t>
            </w:r>
          </w:p>
          <w:p w14:paraId="20995A6E">
            <w:pPr>
              <w:numPr>
                <w:ilvl w:val="0"/>
                <w:numId w:val="1"/>
              </w:numPr>
              <w:spacing w:line="240" w:lineRule="auto"/>
              <w:ind w:left="0" w:leftChars="0" w:firstLine="0" w:firstLineChars="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从事食品贮存业务的非食品销售者履行食品安全主体责任情况；</w:t>
            </w:r>
          </w:p>
          <w:p w14:paraId="03837F93">
            <w:pPr>
              <w:numPr>
                <w:ilvl w:val="0"/>
                <w:numId w:val="0"/>
              </w:numPr>
              <w:spacing w:line="240" w:lineRule="auto"/>
              <w:ind w:leftChars="0"/>
              <w:jc w:val="center"/>
              <w:rPr>
                <w:rFonts w:hint="eastAsia" w:ascii="宋体" w:hAnsi="宋体" w:eastAsia="宋体" w:cs="宋体"/>
                <w:sz w:val="20"/>
                <w:szCs w:val="20"/>
                <w:lang w:val="en-US" w:eastAsia="zh-CN"/>
              </w:rPr>
            </w:pPr>
            <w:r>
              <w:rPr>
                <w:rFonts w:hint="eastAsia" w:cs="宋体"/>
                <w:sz w:val="20"/>
                <w:szCs w:val="20"/>
                <w:lang w:val="en-US" w:eastAsia="zh-CN"/>
              </w:rPr>
              <w:t>4.</w:t>
            </w:r>
            <w:r>
              <w:rPr>
                <w:rFonts w:hint="eastAsia" w:ascii="宋体" w:hAnsi="宋体" w:eastAsia="宋体" w:cs="宋体"/>
                <w:sz w:val="20"/>
                <w:szCs w:val="20"/>
                <w:lang w:val="en-US" w:eastAsia="zh-CN"/>
              </w:rPr>
              <w:t>食品安全风险管控清单制定、食品安全总监、食品安全员设立及履职尽责情况；</w:t>
            </w:r>
            <w:r>
              <w:rPr>
                <w:rFonts w:hint="eastAsia" w:cs="宋体"/>
                <w:sz w:val="20"/>
                <w:szCs w:val="20"/>
                <w:lang w:val="en-US" w:eastAsia="zh-CN"/>
              </w:rPr>
              <w:t>5.</w:t>
            </w:r>
            <w:r>
              <w:rPr>
                <w:rFonts w:hint="eastAsia" w:ascii="宋体" w:hAnsi="宋体" w:eastAsia="宋体" w:cs="宋体"/>
                <w:sz w:val="20"/>
                <w:szCs w:val="20"/>
                <w:lang w:val="en-US" w:eastAsia="zh-CN"/>
              </w:rPr>
              <w:t>自查、监督抽检、监督检查、投诉举报、包保干部督导等环节发现问题整改情况。</w:t>
            </w:r>
          </w:p>
        </w:tc>
        <w:tc>
          <w:tcPr>
            <w:tcW w:w="2640" w:type="dxa"/>
            <w:tcBorders>
              <w:top w:val="single" w:color="auto" w:sz="4" w:space="0"/>
              <w:left w:val="single" w:color="auto" w:sz="4" w:space="0"/>
              <w:right w:val="single" w:color="auto" w:sz="4" w:space="0"/>
            </w:tcBorders>
            <w:noWrap w:val="0"/>
            <w:vAlign w:val="center"/>
          </w:tcPr>
          <w:p w14:paraId="1E283BC7">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1.</w:t>
            </w:r>
            <w:r>
              <w:rPr>
                <w:rFonts w:hint="eastAsia" w:ascii="宋体" w:hAnsi="宋体" w:eastAsia="宋体" w:cs="宋体"/>
                <w:sz w:val="20"/>
                <w:szCs w:val="20"/>
                <w:lang w:val="en-US" w:eastAsia="zh-CN"/>
              </w:rPr>
              <w:t>在开学季及“两考”期间，开展校园周边食品安全全覆盖监督检查；</w:t>
            </w:r>
          </w:p>
          <w:p w14:paraId="3963BA33">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2.</w:t>
            </w:r>
            <w:r>
              <w:rPr>
                <w:rFonts w:hint="eastAsia" w:ascii="宋体" w:hAnsi="宋体" w:eastAsia="宋体" w:cs="宋体"/>
                <w:sz w:val="20"/>
                <w:szCs w:val="20"/>
                <w:lang w:val="en-US" w:eastAsia="zh-CN"/>
              </w:rPr>
              <w:t>其余专项每年至少开展一次，总局、省厅部署开展的专项整治对监督检查有明确规定的，按照相应要求执行。</w:t>
            </w:r>
          </w:p>
        </w:tc>
        <w:tc>
          <w:tcPr>
            <w:tcW w:w="733" w:type="dxa"/>
            <w:tcBorders>
              <w:top w:val="single" w:color="auto" w:sz="4" w:space="0"/>
              <w:left w:val="single" w:color="auto" w:sz="4" w:space="0"/>
              <w:right w:val="single" w:color="auto" w:sz="4" w:space="0"/>
            </w:tcBorders>
            <w:noWrap w:val="0"/>
            <w:vAlign w:val="center"/>
          </w:tcPr>
          <w:p w14:paraId="52010A2B">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r>
              <w:rPr>
                <w:rFonts w:hint="eastAsia" w:cs="宋体"/>
                <w:sz w:val="20"/>
                <w:szCs w:val="20"/>
                <w:lang w:val="en-US" w:eastAsia="zh-CN"/>
              </w:rPr>
              <w:t>2</w:t>
            </w:r>
            <w:r>
              <w:rPr>
                <w:rFonts w:hint="eastAsia" w:ascii="宋体" w:hAnsi="宋体" w:eastAsia="宋体" w:cs="宋体"/>
                <w:sz w:val="20"/>
                <w:szCs w:val="20"/>
                <w:lang w:val="en-US" w:eastAsia="zh-CN"/>
              </w:rPr>
              <w:t>月底前</w:t>
            </w:r>
          </w:p>
        </w:tc>
        <w:tc>
          <w:tcPr>
            <w:tcW w:w="2247" w:type="dxa"/>
            <w:tcBorders>
              <w:top w:val="single" w:color="auto" w:sz="4" w:space="0"/>
              <w:left w:val="single" w:color="auto" w:sz="4" w:space="0"/>
              <w:right w:val="single" w:color="auto" w:sz="4" w:space="0"/>
            </w:tcBorders>
            <w:noWrap w:val="0"/>
            <w:vAlign w:val="center"/>
          </w:tcPr>
          <w:p w14:paraId="334B00E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各市场监管所结合实际组织开展检查。</w:t>
            </w:r>
          </w:p>
        </w:tc>
      </w:tr>
      <w:tr w14:paraId="0595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7" w:hRule="atLeast"/>
        </w:trPr>
        <w:tc>
          <w:tcPr>
            <w:tcW w:w="733" w:type="dxa"/>
            <w:tcBorders>
              <w:top w:val="single" w:color="auto" w:sz="4" w:space="0"/>
              <w:left w:val="single" w:color="auto" w:sz="4" w:space="0"/>
              <w:bottom w:val="single" w:color="auto" w:sz="4" w:space="0"/>
              <w:right w:val="single" w:color="auto" w:sz="4" w:space="0"/>
            </w:tcBorders>
            <w:noWrap w:val="0"/>
            <w:vAlign w:val="center"/>
          </w:tcPr>
          <w:p w14:paraId="6DFA8F88">
            <w:pPr>
              <w:spacing w:line="240" w:lineRule="auto"/>
              <w:jc w:val="center"/>
              <w:rPr>
                <w:rFonts w:hint="eastAsia" w:ascii="宋体" w:hAnsi="宋体" w:eastAsia="宋体" w:cs="宋体"/>
                <w:sz w:val="20"/>
                <w:szCs w:val="20"/>
                <w:lang w:val="en-US" w:eastAsia="zh-CN"/>
              </w:rPr>
            </w:pPr>
            <w:r>
              <w:rPr>
                <w:rFonts w:hint="eastAsia" w:cs="宋体"/>
                <w:sz w:val="20"/>
                <w:szCs w:val="20"/>
                <w:lang w:val="en-US" w:eastAsia="zh-CN"/>
              </w:rPr>
              <w:t>4</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3E352227">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跟踪指导</w:t>
            </w:r>
          </w:p>
          <w:p w14:paraId="4A0491AB">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飞行检查、联合检查、体系检查、交叉互检、约谈督导等方式开展监督检查</w:t>
            </w:r>
          </w:p>
        </w:tc>
        <w:tc>
          <w:tcPr>
            <w:tcW w:w="4083" w:type="dxa"/>
            <w:tcBorders>
              <w:top w:val="single" w:color="auto" w:sz="4" w:space="0"/>
              <w:left w:val="single" w:color="auto" w:sz="4" w:space="0"/>
              <w:bottom w:val="single" w:color="auto" w:sz="4" w:space="0"/>
              <w:right w:val="single" w:color="auto" w:sz="4" w:space="0"/>
            </w:tcBorders>
            <w:noWrap w:val="0"/>
            <w:vAlign w:val="center"/>
          </w:tcPr>
          <w:p w14:paraId="3D280026">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贯穿整个监督检查工作中。</w:t>
            </w:r>
          </w:p>
        </w:tc>
        <w:tc>
          <w:tcPr>
            <w:tcW w:w="3810" w:type="dxa"/>
            <w:tcBorders>
              <w:top w:val="single" w:color="auto" w:sz="4" w:space="0"/>
              <w:left w:val="single" w:color="auto" w:sz="4" w:space="0"/>
              <w:bottom w:val="single" w:color="auto" w:sz="4" w:space="0"/>
              <w:right w:val="single" w:color="auto" w:sz="4" w:space="0"/>
            </w:tcBorders>
            <w:noWrap w:val="0"/>
            <w:vAlign w:val="center"/>
          </w:tcPr>
          <w:p w14:paraId="35BFE372">
            <w:pPr>
              <w:spacing w:line="240" w:lineRule="auto"/>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针对重大活动、重要节假日、重大舆情及重大食品安全事件等节点，部署开展专项整治，采取发布风险提醒、主动开展排查管控、加大飞行检查等措施，严防、严控区域性、系统性食品安全风险。</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2F56D6E3">
            <w:pPr>
              <w:numPr>
                <w:ilvl w:val="0"/>
                <w:numId w:val="0"/>
              </w:num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按需开展。</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0A36B029">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r>
              <w:rPr>
                <w:rFonts w:hint="eastAsia" w:cs="宋体"/>
                <w:sz w:val="20"/>
                <w:szCs w:val="20"/>
                <w:lang w:val="en-US" w:eastAsia="zh-CN"/>
              </w:rPr>
              <w:t>2</w:t>
            </w:r>
            <w:r>
              <w:rPr>
                <w:rFonts w:hint="eastAsia" w:ascii="宋体" w:hAnsi="宋体" w:eastAsia="宋体" w:cs="宋体"/>
                <w:sz w:val="20"/>
                <w:szCs w:val="20"/>
                <w:lang w:val="en-US" w:eastAsia="zh-CN"/>
              </w:rPr>
              <w:t>月底前</w:t>
            </w:r>
          </w:p>
        </w:tc>
        <w:tc>
          <w:tcPr>
            <w:tcW w:w="2247" w:type="dxa"/>
            <w:tcBorders>
              <w:top w:val="single" w:color="auto" w:sz="4" w:space="0"/>
              <w:left w:val="single" w:color="auto" w:sz="4" w:space="0"/>
              <w:bottom w:val="single" w:color="auto" w:sz="4" w:space="0"/>
              <w:right w:val="single" w:color="auto" w:sz="4" w:space="0"/>
            </w:tcBorders>
            <w:noWrap w:val="0"/>
            <w:vAlign w:val="center"/>
          </w:tcPr>
          <w:p w14:paraId="4B8D6BF4">
            <w:pPr>
              <w:numPr>
                <w:ilvl w:val="0"/>
                <w:numId w:val="0"/>
              </w:num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各市场监管所按需组织开展检查。</w:t>
            </w:r>
          </w:p>
        </w:tc>
      </w:tr>
    </w:tbl>
    <w:p w14:paraId="47512745">
      <w:pPr>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宋体"/>
          <w:sz w:val="18"/>
          <w:szCs w:val="18"/>
          <w:lang w:val="en-US" w:eastAsia="zh-CN"/>
        </w:rPr>
      </w:pPr>
    </w:p>
    <w:sectPr>
      <w:footerReference r:id="rId4" w:type="default"/>
      <w:pgSz w:w="16840" w:h="11900" w:orient="landscape"/>
      <w:pgMar w:top="720" w:right="720" w:bottom="720" w:left="720" w:header="0" w:footer="0" w:gutter="0"/>
      <w:lnNumType w:countBy="0" w:distance="360"/>
      <w:cols w:space="720" w:num="1"/>
      <w:rtlGutter w:val="0"/>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85FCF">
    <w:pPr>
      <w:pStyle w:val="3"/>
      <w:kinsoku w:val="0"/>
      <w:overflowPunct w:val="0"/>
      <w:spacing w:beforeLines="0" w:afterLines="0" w:line="14" w:lineRule="auto"/>
      <w:rPr>
        <w:rFonts w:hint="default"/>
        <w:sz w:val="2"/>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1F0101"/>
    <w:multiLevelType w:val="singleLevel"/>
    <w:tmpl w:val="791F010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675461E"/>
    <w:rsid w:val="094635A7"/>
    <w:rsid w:val="15D30C1E"/>
    <w:rsid w:val="178F0911"/>
    <w:rsid w:val="18AA760D"/>
    <w:rsid w:val="1AAD23A3"/>
    <w:rsid w:val="1C7A2C5E"/>
    <w:rsid w:val="1FBF0675"/>
    <w:rsid w:val="203F398E"/>
    <w:rsid w:val="2124455C"/>
    <w:rsid w:val="229E633F"/>
    <w:rsid w:val="2B9F0DF0"/>
    <w:rsid w:val="2BBBDFFA"/>
    <w:rsid w:val="3343608D"/>
    <w:rsid w:val="36DF5337"/>
    <w:rsid w:val="37F30CB0"/>
    <w:rsid w:val="37FA1962"/>
    <w:rsid w:val="38C22A3B"/>
    <w:rsid w:val="3CFF67F4"/>
    <w:rsid w:val="3D1D65AF"/>
    <w:rsid w:val="3D327972"/>
    <w:rsid w:val="3F778EDB"/>
    <w:rsid w:val="3FFD68D5"/>
    <w:rsid w:val="411F0846"/>
    <w:rsid w:val="422F5408"/>
    <w:rsid w:val="43DC39E5"/>
    <w:rsid w:val="44BD7DBD"/>
    <w:rsid w:val="469E31EB"/>
    <w:rsid w:val="4F9E7D2B"/>
    <w:rsid w:val="4FF046F2"/>
    <w:rsid w:val="51D850E7"/>
    <w:rsid w:val="55E22D8D"/>
    <w:rsid w:val="5A116BAC"/>
    <w:rsid w:val="5AA81D2F"/>
    <w:rsid w:val="63F37AFD"/>
    <w:rsid w:val="64E56639"/>
    <w:rsid w:val="6542180B"/>
    <w:rsid w:val="67FFF560"/>
    <w:rsid w:val="684D2C5C"/>
    <w:rsid w:val="69F44F37"/>
    <w:rsid w:val="6ADD7A8B"/>
    <w:rsid w:val="6E7921B2"/>
    <w:rsid w:val="6F856787"/>
    <w:rsid w:val="729036EF"/>
    <w:rsid w:val="73795DDB"/>
    <w:rsid w:val="74177638"/>
    <w:rsid w:val="777A4AE6"/>
    <w:rsid w:val="793C33F8"/>
    <w:rsid w:val="7B3E7A88"/>
    <w:rsid w:val="7BAB8310"/>
    <w:rsid w:val="7BE94C8D"/>
    <w:rsid w:val="7CEF59C6"/>
    <w:rsid w:val="7E7A5B75"/>
    <w:rsid w:val="7EDB3054"/>
    <w:rsid w:val="7F2D7BDA"/>
    <w:rsid w:val="BEF6414C"/>
    <w:rsid w:val="DF6B53B5"/>
    <w:rsid w:val="DF9820C1"/>
    <w:rsid w:val="E2BB33C1"/>
    <w:rsid w:val="E767FBB1"/>
    <w:rsid w:val="E8DEE7FA"/>
    <w:rsid w:val="F3FD74F8"/>
    <w:rsid w:val="F5F694BA"/>
    <w:rsid w:val="F75C89F7"/>
    <w:rsid w:val="FD9FC097"/>
    <w:rsid w:val="FF670EDD"/>
    <w:rsid w:val="FFBD8DF6"/>
    <w:rsid w:val="FFD7F7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0"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0"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0"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0"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0"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0"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0"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autoSpaceDE w:val="0"/>
      <w:autoSpaceDN w:val="0"/>
      <w:adjustRightInd w:val="0"/>
      <w:spacing w:beforeLines="0" w:afterLines="0"/>
    </w:pPr>
    <w:rPr>
      <w:rFonts w:hint="eastAsia" w:ascii="宋体" w:hAnsi="宋体" w:eastAsia="宋体" w:cs="Times New Roman"/>
      <w:sz w:val="22"/>
      <w:szCs w:val="24"/>
    </w:rPr>
  </w:style>
  <w:style w:type="character" w:default="1" w:styleId="14">
    <w:name w:val="Default Paragraph Font"/>
    <w:uiPriority w:val="0"/>
    <w:rPr>
      <w:rFonts w:ascii="Times New Roman" w:hAnsi="Times New Roman" w:eastAsia="宋体" w:cs="Times New Roman"/>
    </w:rPr>
  </w:style>
  <w:style w:type="table" w:default="1" w:styleId="5">
    <w:name w:val="Normal Table"/>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样式1"/>
    <w:basedOn w:val="1"/>
    <w:next w:val="3"/>
    <w:qFormat/>
    <w:uiPriority w:val="0"/>
    <w:pPr>
      <w:widowControl/>
      <w:spacing w:before="120"/>
      <w:ind w:firstLine="602" w:firstLineChars="200"/>
      <w:jc w:val="left"/>
    </w:pPr>
    <w:rPr>
      <w:rFonts w:ascii="仿宋" w:hAnsi="仿宋" w:cs="Times New Roman"/>
      <w:kern w:val="0"/>
      <w:sz w:val="30"/>
      <w:szCs w:val="30"/>
      <w:lang w:val="en-GB" w:eastAsia="fr-FR"/>
    </w:rPr>
  </w:style>
  <w:style w:type="paragraph" w:styleId="3">
    <w:name w:val="Body Text"/>
    <w:basedOn w:val="1"/>
    <w:next w:val="1"/>
    <w:uiPriority w:val="0"/>
    <w:pPr>
      <w:spacing w:beforeLines="0" w:afterLines="0"/>
    </w:pPr>
    <w:rPr>
      <w:rFonts w:hint="eastAsia" w:ascii="Times New Roman" w:hAnsi="Times New Roman" w:eastAsia="宋体" w:cs="Times New Roman"/>
      <w:sz w:val="32"/>
      <w:szCs w:val="24"/>
    </w:rPr>
  </w:style>
  <w:style w:type="paragraph" w:styleId="4">
    <w:name w:val="Normal (Web)"/>
    <w:basedOn w:val="1"/>
    <w:qFormat/>
    <w:uiPriority w:val="0"/>
    <w:pPr>
      <w:widowControl w:val="0"/>
      <w:spacing w:beforeAutospacing="1" w:after="100" w:afterAutospacing="1" w:line="240" w:lineRule="auto"/>
    </w:pPr>
    <w:rPr>
      <w:rFonts w:cs="Times New Roman"/>
      <w:sz w:val="24"/>
      <w:szCs w:val="24"/>
    </w:rPr>
  </w:style>
  <w:style w:type="table" w:styleId="6">
    <w:name w:val="Table Grid"/>
    <w:basedOn w:val="5"/>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
    <w:name w:val="Medium Grid 3"/>
    <w:basedOn w:val="5"/>
    <w:uiPriority w:val="0"/>
    <w:rPr>
      <w:rFonts w:ascii="Times New Roman" w:hAnsi="Times New Roman" w:eastAsia="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color="CCE8CF" w:sz="8" w:space="0"/>
          <w:left w:val="single" w:color="CCE8CF" w:sz="24" w:space="0"/>
          <w:bottom w:val="single" w:color="CCE8CF" w:sz="8" w:space="0"/>
          <w:right w:val="single" w:color="CCE8CF" w:sz="8" w:space="0"/>
          <w:insideH w:val="nil"/>
          <w:insideV w:val="single" w:sz="8" w:space="0"/>
          <w:tl2br w:val="nil"/>
          <w:tr2bl w:val="nil"/>
        </w:tcBorders>
        <w:shd w:val="clear" w:color="auto" w:fill="000000"/>
      </w:tcPr>
    </w:tblStylePr>
    <w:tblStylePr w:type="lastRow">
      <w:rPr>
        <w:b/>
        <w:bCs/>
        <w:i w:val="0"/>
        <w:iCs w:val="0"/>
        <w:color w:val="FFFFF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000000"/>
      </w:tcPr>
    </w:tblStylePr>
    <w:tblStylePr w:type="firstCol">
      <w:rPr>
        <w:b/>
        <w:bCs/>
        <w:i w:val="0"/>
        <w:iCs w:val="0"/>
        <w:color w:val="FFFFFF"/>
      </w:rPr>
      <w:tblPr/>
      <w:tcPr>
        <w:tcBorders>
          <w:top w:val="nil"/>
          <w:left w:val="nil"/>
          <w:bottom w:val="single" w:color="CCE8CF" w:sz="8" w:space="0"/>
          <w:right w:val="single" w:color="CCE8CF" w:sz="24" w:space="0"/>
          <w:insideH w:val="nil"/>
          <w:insideV w:val="nil"/>
          <w:tl2br w:val="nil"/>
          <w:tr2bl w:val="nil"/>
        </w:tcBorders>
        <w:shd w:val="clear" w:color="auto" w:fill="000000"/>
      </w:tcPr>
    </w:tblStylePr>
    <w:tblStylePr w:type="lastCol">
      <w:rPr>
        <w:b/>
        <w:bCs/>
        <w:i w:val="0"/>
        <w:iCs w:val="0"/>
        <w:color w:val="FFFFFF"/>
      </w:rPr>
      <w:tblPr/>
      <w:tcPr>
        <w:tcBorders>
          <w:top w:val="nil"/>
          <w:left w:val="nil"/>
          <w:bottom w:val="single" w:color="CCE8CF" w:sz="24" w:space="0"/>
          <w:right w:val="nil"/>
          <w:insideH w:val="nil"/>
          <w:insideV w:val="nil"/>
          <w:tl2br w:val="nil"/>
          <w:tr2bl w:val="nil"/>
        </w:tcBorders>
        <w:shd w:val="clear" w:color="auto" w:fill="000000"/>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80808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808080"/>
      </w:tcPr>
    </w:tblStylePr>
  </w:style>
  <w:style w:type="table" w:styleId="8">
    <w:name w:val="Medium Grid 3 Accent 1"/>
    <w:basedOn w:val="5"/>
    <w:uiPriority w:val="0"/>
    <w:rPr>
      <w:rFonts w:ascii="Times New Roman" w:hAnsi="Times New Roman" w:eastAsia="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color="CCE8CF" w:sz="8" w:space="0"/>
          <w:left w:val="single" w:color="CCE8CF" w:sz="24" w:space="0"/>
          <w:bottom w:val="single" w:color="CCE8CF" w:sz="8" w:space="0"/>
          <w:right w:val="single" w:color="CCE8CF" w:sz="8" w:space="0"/>
          <w:insideH w:val="nil"/>
          <w:insideV w:val="single" w:sz="8" w:space="0"/>
          <w:tl2br w:val="nil"/>
          <w:tr2bl w:val="nil"/>
        </w:tcBorders>
        <w:shd w:val="clear" w:color="auto" w:fill="4F81BD"/>
      </w:tcPr>
    </w:tblStylePr>
    <w:tblStylePr w:type="lastRow">
      <w:rPr>
        <w:b/>
        <w:bCs/>
        <w:i w:val="0"/>
        <w:iCs w:val="0"/>
        <w:color w:val="FFFFF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FFFFFF"/>
      </w:rPr>
      <w:tblPr/>
      <w:tcPr>
        <w:tcBorders>
          <w:top w:val="nil"/>
          <w:left w:val="nil"/>
          <w:bottom w:val="single" w:color="CCE8CF" w:sz="8" w:space="0"/>
          <w:right w:val="single" w:color="CCE8CF" w:sz="24" w:space="0"/>
          <w:insideH w:val="nil"/>
          <w:insideV w:val="nil"/>
          <w:tl2br w:val="nil"/>
          <w:tr2bl w:val="nil"/>
        </w:tcBorders>
        <w:shd w:val="clear" w:color="auto" w:fill="4F81BD"/>
      </w:tcPr>
    </w:tblStylePr>
    <w:tblStylePr w:type="lastCol">
      <w:rPr>
        <w:b/>
        <w:bCs/>
        <w:i w:val="0"/>
        <w:iCs w:val="0"/>
        <w:color w:val="FFFFFF"/>
      </w:rPr>
      <w:tblPr/>
      <w:tcPr>
        <w:tcBorders>
          <w:top w:val="nil"/>
          <w:left w:val="nil"/>
          <w:bottom w:val="single" w:color="CCE8CF" w:sz="24" w:space="0"/>
          <w:right w:val="nil"/>
          <w:insideH w:val="nil"/>
          <w:insideV w:val="nil"/>
          <w:tl2br w:val="nil"/>
          <w:tr2bl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styleId="9">
    <w:name w:val="Medium Grid 3 Accent 2"/>
    <w:basedOn w:val="5"/>
    <w:uiPriority w:val="0"/>
    <w:rPr>
      <w:rFonts w:ascii="Times New Roman" w:hAnsi="Times New Roman" w:eastAsia="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color="CCE8CF" w:sz="8" w:space="0"/>
          <w:left w:val="single" w:color="CCE8CF" w:sz="24" w:space="0"/>
          <w:bottom w:val="single" w:color="CCE8CF" w:sz="8" w:space="0"/>
          <w:right w:val="single" w:color="CCE8CF" w:sz="8" w:space="0"/>
          <w:insideH w:val="nil"/>
          <w:insideV w:val="single" w:sz="8" w:space="0"/>
          <w:tl2br w:val="nil"/>
          <w:tr2bl w:val="nil"/>
        </w:tcBorders>
        <w:shd w:val="clear" w:color="auto" w:fill="C0504D"/>
      </w:tcPr>
    </w:tblStylePr>
    <w:tblStylePr w:type="lastRow">
      <w:rPr>
        <w:b/>
        <w:bCs/>
        <w:i w:val="0"/>
        <w:iCs w:val="0"/>
        <w:color w:val="FFFFF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FFFFFF"/>
      </w:rPr>
      <w:tblPr/>
      <w:tcPr>
        <w:tcBorders>
          <w:top w:val="nil"/>
          <w:left w:val="nil"/>
          <w:bottom w:val="single" w:color="CCE8CF" w:sz="8" w:space="0"/>
          <w:right w:val="single" w:color="CCE8CF" w:sz="24" w:space="0"/>
          <w:insideH w:val="nil"/>
          <w:insideV w:val="nil"/>
          <w:tl2br w:val="nil"/>
          <w:tr2bl w:val="nil"/>
        </w:tcBorders>
        <w:shd w:val="clear" w:color="auto" w:fill="C0504D"/>
      </w:tcPr>
    </w:tblStylePr>
    <w:tblStylePr w:type="lastCol">
      <w:rPr>
        <w:b/>
        <w:bCs/>
        <w:i w:val="0"/>
        <w:iCs w:val="0"/>
        <w:color w:val="FFFFFF"/>
      </w:rPr>
      <w:tblPr/>
      <w:tcPr>
        <w:tcBorders>
          <w:top w:val="nil"/>
          <w:left w:val="nil"/>
          <w:bottom w:val="single" w:color="CCE8CF" w:sz="24" w:space="0"/>
          <w:right w:val="nil"/>
          <w:insideH w:val="nil"/>
          <w:insideV w:val="nil"/>
          <w:tl2br w:val="nil"/>
          <w:tr2bl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styleId="10">
    <w:name w:val="Medium Grid 3 Accent 3"/>
    <w:basedOn w:val="5"/>
    <w:uiPriority w:val="0"/>
    <w:rPr>
      <w:rFonts w:ascii="Times New Roman" w:hAnsi="Times New Roman" w:eastAsia="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color="CCE8CF" w:sz="8" w:space="0"/>
          <w:left w:val="single" w:color="CCE8CF" w:sz="24" w:space="0"/>
          <w:bottom w:val="single" w:color="CCE8CF" w:sz="8" w:space="0"/>
          <w:right w:val="single" w:color="CCE8CF" w:sz="8" w:space="0"/>
          <w:insideH w:val="nil"/>
          <w:insideV w:val="single" w:sz="8" w:space="0"/>
          <w:tl2br w:val="nil"/>
          <w:tr2bl w:val="nil"/>
        </w:tcBorders>
        <w:shd w:val="clear" w:color="auto" w:fill="9BBB59"/>
      </w:tcPr>
    </w:tblStylePr>
    <w:tblStylePr w:type="lastRow">
      <w:rPr>
        <w:b/>
        <w:bCs/>
        <w:i w:val="0"/>
        <w:iCs w:val="0"/>
        <w:color w:val="FFFFF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FFFFFF"/>
      </w:rPr>
      <w:tblPr/>
      <w:tcPr>
        <w:tcBorders>
          <w:top w:val="nil"/>
          <w:left w:val="nil"/>
          <w:bottom w:val="single" w:color="CCE8CF" w:sz="8" w:space="0"/>
          <w:right w:val="single" w:color="CCE8CF" w:sz="24" w:space="0"/>
          <w:insideH w:val="nil"/>
          <w:insideV w:val="nil"/>
          <w:tl2br w:val="nil"/>
          <w:tr2bl w:val="nil"/>
        </w:tcBorders>
        <w:shd w:val="clear" w:color="auto" w:fill="9BBB59"/>
      </w:tcPr>
    </w:tblStylePr>
    <w:tblStylePr w:type="lastCol">
      <w:rPr>
        <w:b/>
        <w:bCs/>
        <w:i w:val="0"/>
        <w:iCs w:val="0"/>
        <w:color w:val="FFFFFF"/>
      </w:rPr>
      <w:tblPr/>
      <w:tcPr>
        <w:tcBorders>
          <w:top w:val="nil"/>
          <w:left w:val="nil"/>
          <w:bottom w:val="single" w:color="CCE8CF" w:sz="24" w:space="0"/>
          <w:right w:val="nil"/>
          <w:insideH w:val="nil"/>
          <w:insideV w:val="nil"/>
          <w:tl2br w:val="nil"/>
          <w:tr2bl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styleId="11">
    <w:name w:val="Medium Grid 3 Accent 4"/>
    <w:basedOn w:val="5"/>
    <w:uiPriority w:val="0"/>
    <w:rPr>
      <w:rFonts w:ascii="Times New Roman" w:hAnsi="Times New Roman" w:eastAsia="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color="CCE8CF" w:sz="8" w:space="0"/>
          <w:left w:val="single" w:color="CCE8CF" w:sz="24" w:space="0"/>
          <w:bottom w:val="single" w:color="CCE8CF" w:sz="8" w:space="0"/>
          <w:right w:val="single" w:color="CCE8CF" w:sz="8" w:space="0"/>
          <w:insideH w:val="nil"/>
          <w:insideV w:val="single" w:sz="8" w:space="0"/>
          <w:tl2br w:val="nil"/>
          <w:tr2bl w:val="nil"/>
        </w:tcBorders>
        <w:shd w:val="clear" w:color="auto" w:fill="8064A2"/>
      </w:tcPr>
    </w:tblStylePr>
    <w:tblStylePr w:type="lastRow">
      <w:rPr>
        <w:b/>
        <w:bCs/>
        <w:i w:val="0"/>
        <w:iCs w:val="0"/>
        <w:color w:val="FFFFF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FFFFFF"/>
      </w:rPr>
      <w:tblPr/>
      <w:tcPr>
        <w:tcBorders>
          <w:top w:val="nil"/>
          <w:left w:val="nil"/>
          <w:bottom w:val="single" w:color="CCE8CF" w:sz="8" w:space="0"/>
          <w:right w:val="single" w:color="CCE8CF" w:sz="24" w:space="0"/>
          <w:insideH w:val="nil"/>
          <w:insideV w:val="nil"/>
          <w:tl2br w:val="nil"/>
          <w:tr2bl w:val="nil"/>
        </w:tcBorders>
        <w:shd w:val="clear" w:color="auto" w:fill="8064A2"/>
      </w:tcPr>
    </w:tblStylePr>
    <w:tblStylePr w:type="lastCol">
      <w:rPr>
        <w:b/>
        <w:bCs/>
        <w:i w:val="0"/>
        <w:iCs w:val="0"/>
        <w:color w:val="FFFFFF"/>
      </w:rPr>
      <w:tblPr/>
      <w:tcPr>
        <w:tcBorders>
          <w:top w:val="nil"/>
          <w:left w:val="nil"/>
          <w:bottom w:val="single" w:color="CCE8CF" w:sz="24" w:space="0"/>
          <w:right w:val="nil"/>
          <w:insideH w:val="nil"/>
          <w:insideV w:val="nil"/>
          <w:tl2br w:val="nil"/>
          <w:tr2bl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styleId="12">
    <w:name w:val="Medium Grid 3 Accent 5"/>
    <w:basedOn w:val="5"/>
    <w:uiPriority w:val="0"/>
    <w:rPr>
      <w:rFonts w:ascii="Times New Roman" w:hAnsi="Times New Roman" w:eastAsia="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color="CCE8CF" w:sz="8" w:space="0"/>
          <w:left w:val="single" w:color="CCE8CF" w:sz="24" w:space="0"/>
          <w:bottom w:val="single" w:color="CCE8CF" w:sz="8" w:space="0"/>
          <w:right w:val="single" w:color="CCE8CF" w:sz="8" w:space="0"/>
          <w:insideH w:val="nil"/>
          <w:insideV w:val="single" w:sz="8" w:space="0"/>
          <w:tl2br w:val="nil"/>
          <w:tr2bl w:val="nil"/>
        </w:tcBorders>
        <w:shd w:val="clear" w:color="auto" w:fill="4BACC6"/>
      </w:tcPr>
    </w:tblStylePr>
    <w:tblStylePr w:type="lastRow">
      <w:rPr>
        <w:b/>
        <w:bCs/>
        <w:i w:val="0"/>
        <w:iCs w:val="0"/>
        <w:color w:val="FFFFF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FFFFFF"/>
      </w:rPr>
      <w:tblPr/>
      <w:tcPr>
        <w:tcBorders>
          <w:top w:val="nil"/>
          <w:left w:val="nil"/>
          <w:bottom w:val="single" w:color="CCE8CF" w:sz="8" w:space="0"/>
          <w:right w:val="single" w:color="CCE8CF" w:sz="24" w:space="0"/>
          <w:insideH w:val="nil"/>
          <w:insideV w:val="nil"/>
          <w:tl2br w:val="nil"/>
          <w:tr2bl w:val="nil"/>
        </w:tcBorders>
        <w:shd w:val="clear" w:color="auto" w:fill="4BACC6"/>
      </w:tcPr>
    </w:tblStylePr>
    <w:tblStylePr w:type="lastCol">
      <w:rPr>
        <w:b/>
        <w:bCs/>
        <w:i w:val="0"/>
        <w:iCs w:val="0"/>
        <w:color w:val="FFFFFF"/>
      </w:rPr>
      <w:tblPr/>
      <w:tcPr>
        <w:tcBorders>
          <w:top w:val="nil"/>
          <w:left w:val="nil"/>
          <w:bottom w:val="single" w:color="CCE8CF" w:sz="24" w:space="0"/>
          <w:right w:val="nil"/>
          <w:insideH w:val="nil"/>
          <w:insideV w:val="nil"/>
          <w:tl2br w:val="nil"/>
          <w:tr2bl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styleId="13">
    <w:name w:val="Medium Grid 3 Accent 6"/>
    <w:basedOn w:val="5"/>
    <w:uiPriority w:val="0"/>
    <w:rPr>
      <w:rFonts w:ascii="Times New Roman" w:hAnsi="Times New Roman" w:eastAsia="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color="CCE8CF" w:sz="8" w:space="0"/>
          <w:left w:val="single" w:color="CCE8CF" w:sz="24" w:space="0"/>
          <w:bottom w:val="single" w:color="CCE8CF" w:sz="8" w:space="0"/>
          <w:right w:val="single" w:color="CCE8CF" w:sz="8" w:space="0"/>
          <w:insideH w:val="nil"/>
          <w:insideV w:val="single" w:sz="8" w:space="0"/>
          <w:tl2br w:val="nil"/>
          <w:tr2bl w:val="nil"/>
        </w:tcBorders>
        <w:shd w:val="clear" w:color="auto" w:fill="F79646"/>
      </w:tcPr>
    </w:tblStylePr>
    <w:tblStylePr w:type="lastRow">
      <w:rPr>
        <w:b/>
        <w:bCs/>
        <w:i w:val="0"/>
        <w:iCs w:val="0"/>
        <w:color w:val="FFFFF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FFFFFF"/>
      </w:rPr>
      <w:tblPr/>
      <w:tcPr>
        <w:tcBorders>
          <w:top w:val="nil"/>
          <w:left w:val="nil"/>
          <w:bottom w:val="single" w:color="CCE8CF" w:sz="8" w:space="0"/>
          <w:right w:val="single" w:color="CCE8CF" w:sz="24" w:space="0"/>
          <w:insideH w:val="nil"/>
          <w:insideV w:val="nil"/>
          <w:tl2br w:val="nil"/>
          <w:tr2bl w:val="nil"/>
        </w:tcBorders>
        <w:shd w:val="clear" w:color="auto" w:fill="F79646"/>
      </w:tcPr>
    </w:tblStylePr>
    <w:tblStylePr w:type="lastCol">
      <w:rPr>
        <w:b/>
        <w:bCs/>
        <w:i w:val="0"/>
        <w:iCs w:val="0"/>
        <w:color w:val="FFFFFF"/>
      </w:rPr>
      <w:tblPr/>
      <w:tcPr>
        <w:tcBorders>
          <w:top w:val="nil"/>
          <w:left w:val="nil"/>
          <w:bottom w:val="single" w:color="CCE8CF" w:sz="24" w:space="0"/>
          <w:right w:val="nil"/>
          <w:insideH w:val="nil"/>
          <w:insideV w:val="nil"/>
          <w:tl2br w:val="nil"/>
          <w:tr2bl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paragraph" w:styleId="15">
    <w:name w:val="List Paragraph"/>
    <w:basedOn w:val="1"/>
    <w:uiPriority w:val="0"/>
    <w:pPr>
      <w:spacing w:before="1" w:beforeLines="0" w:afterLines="0"/>
      <w:ind w:left="120" w:right="269" w:firstLine="640"/>
      <w:jc w:val="both"/>
    </w:pPr>
    <w:rPr>
      <w:rFonts w:hint="eastAsia"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1850</Words>
  <Characters>1881</Characters>
  <Lines>0</Lines>
  <Paragraphs>0</Paragraphs>
  <TotalTime>13</TotalTime>
  <ScaleCrop>false</ScaleCrop>
  <LinksUpToDate>false</LinksUpToDate>
  <CharactersWithSpaces>1881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2021-04-03T03:59:00Z</dcterms:created>
  <dc:creator>面向阳光</dc:creator>
  <cp:lastModifiedBy>博</cp:lastModifiedBy>
  <cp:lastPrinted>2023-03-19T05:34:00Z</cp:lastPrinted>
  <dcterms:modified xsi:type="dcterms:W3CDTF">2026-11-02T02:57:28Z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2BCD6E0B44BC4D8587C20389A3503C0D_13</vt:lpwstr>
  </property>
  <property fmtid="{D5CDD505-2E9C-101B-9397-08002B2CF9AE}" pid="4" name="commondata">
    <vt:lpwstr>eyJoZGlkIjoiN2YxNGJjYmM2NmMxNTRlYTZkZDllMzlmYThjMTA1MzAifQ==</vt:lpwstr>
  </property>
  <property fmtid="{D5CDD505-2E9C-101B-9397-08002B2CF9AE}" pid="5" name="KSOTemplateDocerSaveRecord">
    <vt:lpwstr>eyJoZGlkIjoiNjZmNDZlMzE1ODFlZTEzNjY3NGE5ZjMyMTM2NGVmNDQiLCJ1c2VySWQiOiI3MTQ5NjY2MjYifQ==</vt:lpwstr>
  </property>
</Properties>
</file>