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附件9-1</w:t>
      </w: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中共长春市二道区八里堡街道东荣社区</w:t>
      </w:r>
      <w:r>
        <w:rPr>
          <w:rFonts w:hint="eastAsia" w:ascii="Times New Roman" w:hAnsi="Times New Roman" w:eastAsia="方正小标宋简体" w:cs="Times New Roman"/>
          <w:b w:val="0"/>
          <w:bCs/>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根据区委统一部署，2025年3月5日至</w:t>
      </w:r>
      <w:r>
        <w:rPr>
          <w:rFonts w:hint="eastAsia"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b w:val="0"/>
          <w:bCs/>
          <w:sz w:val="32"/>
          <w:szCs w:val="32"/>
          <w:lang w:val="en-US" w:eastAsia="zh-CN"/>
        </w:rPr>
        <w:t>5月20日，区委第四巡察组对中共长春市二道区八里堡街道东荣社区</w:t>
      </w:r>
      <w:r>
        <w:rPr>
          <w:rFonts w:hint="eastAsia" w:ascii="Times New Roman" w:hAnsi="Times New Roman" w:eastAsia="仿宋_GB2312" w:cs="Times New Roman"/>
          <w:b w:val="0"/>
          <w:bCs/>
          <w:sz w:val="32"/>
          <w:szCs w:val="32"/>
          <w:lang w:val="en-US" w:eastAsia="zh-CN"/>
        </w:rPr>
        <w:t>委员会（以下简称“东荣社区党委”）</w:t>
      </w:r>
      <w:r>
        <w:rPr>
          <w:rFonts w:hint="default" w:ascii="Times New Roman" w:hAnsi="Times New Roman" w:eastAsia="仿宋_GB2312" w:cs="Times New Roman"/>
          <w:b w:val="0"/>
          <w:bCs/>
          <w:sz w:val="32"/>
          <w:szCs w:val="32"/>
          <w:lang w:val="en-US" w:eastAsia="zh-CN"/>
        </w:rPr>
        <w:t>开展了</w:t>
      </w:r>
      <w:r>
        <w:rPr>
          <w:rFonts w:hint="eastAsia" w:ascii="Times New Roman" w:hAnsi="Times New Roman"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巡察。2025年9月5日，区委巡察组向东荣社区党委反馈了巡察意见。按照巡察工作有关要求，现将巡察整改进展情况予以公布。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一、</w:t>
      </w:r>
      <w:r>
        <w:rPr>
          <w:rFonts w:hint="default" w:ascii="Times New Roman" w:hAnsi="Times New Roman" w:eastAsia="黑体" w:cs="Times New Roman"/>
          <w:b w:val="0"/>
          <w:bCs/>
          <w:sz w:val="32"/>
          <w:szCs w:val="32"/>
          <w:lang w:val="en-US" w:eastAsia="zh-CN"/>
        </w:rPr>
        <w:t>党委履行整改主体责任情况</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bookmarkStart w:id="0" w:name="OLE_LINK1"/>
      <w:r>
        <w:rPr>
          <w:rFonts w:hint="default" w:ascii="Times New Roman" w:hAnsi="Times New Roman" w:eastAsia="楷体_GB2312" w:cs="Times New Roman"/>
          <w:b w:val="0"/>
          <w:bCs/>
          <w:sz w:val="32"/>
          <w:szCs w:val="32"/>
          <w:lang w:val="en-US" w:eastAsia="zh-CN"/>
        </w:rPr>
        <w:t>（一）强化政治引领，压实整改责任链条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社区党委始终将整改作为重</w:t>
      </w:r>
      <w:r>
        <w:rPr>
          <w:rFonts w:hint="eastAsia" w:ascii="Times New Roman" w:hAnsi="Times New Roman" w:eastAsia="仿宋_GB2312" w:cs="Times New Roman"/>
          <w:b w:val="0"/>
          <w:bCs/>
          <w:sz w:val="32"/>
          <w:szCs w:val="32"/>
          <w:lang w:val="en-US" w:eastAsia="zh-CN"/>
        </w:rPr>
        <w:t>要</w:t>
      </w:r>
      <w:r>
        <w:rPr>
          <w:rFonts w:hint="default" w:ascii="Times New Roman" w:hAnsi="Times New Roman" w:eastAsia="仿宋_GB2312" w:cs="Times New Roman"/>
          <w:b w:val="0"/>
          <w:bCs/>
          <w:sz w:val="32"/>
          <w:szCs w:val="32"/>
          <w:lang w:val="en-US" w:eastAsia="zh-CN"/>
        </w:rPr>
        <w:t>任务，第一时间召开党委扩大会议，专题学习巡察反馈意见，深刻剖析问题根源，研究部署整改工作。结合巡察反馈的4大类10个具体问题，逐一制定整改措施，细化任务清单、责任清单、时限清单，确保每个问题有人管、每项措施有人抓、每个环节有人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（二）坚持标本兼治，推动整改成果转化</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始终坚持“当下改”与“长久立”相结合，既聚焦巡察反馈的具体问题立行立改，又深挖问题背后的制度漏洞和管理短板，着力构建长效机制。将整改中的有效做法固化为常态化机制，推动整改工作从“解决具体问题”向“提升治理能力”转变，切实把整改成果转化为服务群众、推动社区发展的强大动力。</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lang w:val="en-US" w:eastAsia="zh-CN"/>
        </w:rPr>
        <w:t>巡察反馈重点问题整改落实情况</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（一）关于聚焦落实基层治理政治责任情况方面</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1.严格落实学习要求，持续巩固学习成效。</w:t>
      </w:r>
      <w:r>
        <w:rPr>
          <w:rFonts w:hint="default" w:ascii="Times New Roman" w:hAnsi="Times New Roman" w:eastAsia="仿宋_GB2312" w:cs="Times New Roman"/>
          <w:b w:val="0"/>
          <w:bCs/>
          <w:sz w:val="32"/>
          <w:szCs w:val="32"/>
          <w:highlight w:val="none"/>
          <w:lang w:val="en-US" w:eastAsia="zh-CN"/>
        </w:rPr>
        <w:t>第一时间组织社区党委班子成员、全体社工开展专题学习会，系统学习习近平新时代中国特色社会主义思想和党的二十大报告核心内容，每月至少开展1次集中学习，并将学习内容纳入社区年度干部培训计划；围绕基层治理、服务群众等主题，开展3次专题研讨，结合社区实际工作谈体会、谋思路，推动学习成果转化。</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（二）关于聚焦党建引领基层治理情况方面</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 w:eastAsia="zh-CN"/>
        </w:rPr>
      </w:pPr>
      <w:r>
        <w:rPr>
          <w:rFonts w:hint="default" w:ascii="Times New Roman" w:hAnsi="Times New Roman" w:eastAsia="仿宋_GB2312" w:cs="Times New Roman"/>
          <w:b/>
          <w:bCs w:val="0"/>
          <w:sz w:val="32"/>
          <w:szCs w:val="32"/>
          <w:highlight w:val="none"/>
          <w:lang w:val="en-US" w:eastAsia="zh-CN"/>
        </w:rPr>
        <w:t>全面厘清</w:t>
      </w:r>
      <w:r>
        <w:rPr>
          <w:rFonts w:hint="default" w:ascii="Times New Roman" w:hAnsi="Times New Roman" w:eastAsia="仿宋_GB2312" w:cs="Times New Roman"/>
          <w:b/>
          <w:bCs w:val="0"/>
          <w:sz w:val="32"/>
          <w:szCs w:val="32"/>
          <w:highlight w:val="none"/>
          <w:lang w:val="en" w:eastAsia="zh-CN"/>
        </w:rPr>
        <w:t>职能作用，思想认识得到有效提升。</w:t>
      </w:r>
      <w:r>
        <w:rPr>
          <w:rFonts w:hint="default" w:ascii="Times New Roman" w:hAnsi="Times New Roman" w:eastAsia="仿宋_GB2312" w:cs="Times New Roman"/>
          <w:b w:val="0"/>
          <w:bCs/>
          <w:sz w:val="32"/>
          <w:szCs w:val="32"/>
          <w:lang w:val="en" w:eastAsia="zh-CN"/>
        </w:rPr>
        <w:t>全体人员大会研究党服经费使用情况逐人进行表态，</w:t>
      </w:r>
      <w:r>
        <w:rPr>
          <w:rFonts w:hint="default" w:ascii="Times New Roman" w:hAnsi="Times New Roman" w:eastAsia="仿宋_GB2312" w:cs="Times New Roman"/>
          <w:b w:val="0"/>
          <w:bCs/>
          <w:sz w:val="32"/>
          <w:szCs w:val="32"/>
          <w:lang w:val="en-US" w:eastAsia="zh-CN"/>
        </w:rPr>
        <w:t>严格执行“集体领导、民主集中、个别酝酿、会议决定”的原则，每次党委会议题提前1天通知委员，确保充分调研和准备；会上要求每位委员逐一发表意见，形成完整会议记录并存档；对涉及群众利益的议题，会前通过居民代表座谈会、线上问卷等方式广泛征求意见，确保决策符合社区实际和群众需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（三）关于聚焦基层治理重点任务落实情况方面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highlight w:val="none"/>
          <w:lang w:val="en-US" w:eastAsia="zh-CN"/>
        </w:rPr>
        <w:t>1</w:t>
      </w:r>
      <w:r>
        <w:rPr>
          <w:rFonts w:hint="default" w:ascii="Times New Roman" w:hAnsi="Times New Roman" w:eastAsia="仿宋_GB2312" w:cs="Times New Roman"/>
          <w:b/>
          <w:bCs w:val="0"/>
          <w:sz w:val="32"/>
          <w:szCs w:val="32"/>
          <w:highlight w:val="none"/>
          <w:lang w:val="en" w:eastAsia="zh-CN"/>
        </w:rPr>
        <w:t>.安全隐患排查工作全面到位，排查质效显著提升。</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对辖区内所有底商开展拉网式排查，及时发现并督促整改应急设施使用不规范问题，对相关商户进行安全警示约谈，签订《安全承诺书》。</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建强排查队伍，实现全员覆盖。组建由社区网格员、物业安全员、商户志愿者组成的 “安全排查专班”，明确“分层排查”职责，每周对消防设施、电路燃气等进行全面巡查，建立电子台账，聚焦重点领域，做到精准排查。</w:t>
      </w:r>
      <w:r>
        <w:rPr>
          <w:rFonts w:hint="default"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 w:val="0"/>
          <w:bCs/>
          <w:sz w:val="32"/>
          <w:szCs w:val="32"/>
          <w:lang w:val="en-US" w:eastAsia="zh-CN"/>
        </w:rPr>
        <w:t>将老旧楼道、电动车停放区、商铺列为重点巡查区域，同步排查小区公共设施破损、燃气管道、老旧线路等风险点；做实闭环管理，确保隐患清零</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实行“隐患排查—记录—整改—销号—回头看”闭环管理，对排查出的隐患明确位置、类型、责任人和完成时限，每周抽查已整改隐患，防止问题反弹。</w:t>
      </w:r>
      <w:r>
        <w:rPr>
          <w:rFonts w:hint="default" w:ascii="Times New Roman" w:hAnsi="Times New Roman" w:eastAsia="仿宋_GB2312" w:cs="Times New Roman"/>
          <w:b/>
          <w:bCs w:val="0"/>
          <w:sz w:val="32"/>
          <w:szCs w:val="32"/>
          <w:lang w:val="en-US" w:eastAsia="zh-CN"/>
        </w:rPr>
        <w:t>四是</w:t>
      </w:r>
      <w:r>
        <w:rPr>
          <w:rFonts w:hint="default" w:ascii="Times New Roman" w:hAnsi="Times New Roman" w:eastAsia="仿宋_GB2312" w:cs="Times New Roman"/>
          <w:b w:val="0"/>
          <w:bCs/>
          <w:sz w:val="32"/>
          <w:szCs w:val="32"/>
          <w:lang w:val="en-US" w:eastAsia="zh-CN"/>
        </w:rPr>
        <w:t>强化宣传培训，提升安全意识</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在社区食堂、活动中心等场所张贴安全宣传海报，组织商户开展消防应急演练，提升居民和商户安全防范能力。</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 w:eastAsia="zh-CN"/>
        </w:rPr>
      </w:pPr>
      <w:r>
        <w:rPr>
          <w:rFonts w:hint="default" w:ascii="Times New Roman" w:hAnsi="Times New Roman" w:eastAsia="仿宋_GB2312" w:cs="Times New Roman"/>
          <w:b/>
          <w:bCs w:val="0"/>
          <w:sz w:val="32"/>
          <w:szCs w:val="32"/>
          <w:highlight w:val="none"/>
          <w:lang w:val="en-US" w:eastAsia="zh-CN"/>
        </w:rPr>
        <w:t>2</w:t>
      </w:r>
      <w:r>
        <w:rPr>
          <w:rFonts w:hint="default" w:ascii="Times New Roman" w:hAnsi="Times New Roman" w:eastAsia="仿宋_GB2312" w:cs="Times New Roman"/>
          <w:b/>
          <w:bCs w:val="0"/>
          <w:sz w:val="32"/>
          <w:szCs w:val="32"/>
          <w:highlight w:val="none"/>
          <w:lang w:val="en" w:eastAsia="zh-CN"/>
        </w:rPr>
        <w:t>.居民安全防范意识显著增强。</w:t>
      </w:r>
      <w:r>
        <w:rPr>
          <w:rFonts w:hint="default" w:ascii="Times New Roman" w:hAnsi="Times New Roman" w:eastAsia="仿宋_GB2312" w:cs="Times New Roman"/>
          <w:b/>
          <w:bCs w:val="0"/>
          <w:sz w:val="32"/>
          <w:szCs w:val="32"/>
          <w:lang w:val="en" w:eastAsia="zh-CN"/>
        </w:rPr>
        <w:t>一是</w:t>
      </w:r>
      <w:r>
        <w:rPr>
          <w:rFonts w:hint="default" w:ascii="Times New Roman" w:hAnsi="Times New Roman" w:eastAsia="仿宋_GB2312" w:cs="Times New Roman"/>
          <w:b w:val="0"/>
          <w:bCs/>
          <w:sz w:val="32"/>
          <w:szCs w:val="32"/>
          <w:lang w:val="en-US" w:eastAsia="zh-CN"/>
        </w:rPr>
        <w:t>联合城管、消防等部门开展专项整治行动，对齿轮厂小区和平房区违规充电行为进行全面规范，现场整改违规线缆6处。</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场景化宣传，提升安全意识。在活动中心张贴安全知识海报，网格员上门走访时，手把手普及居家安全常识，让安全知识深入人心。组织居民开展消防应急演练，现场教授灭火器使用、应急逃生等技能；开展燃气安全检查实操活动，提升居民安全实操能力。</w:t>
      </w:r>
      <w:r>
        <w:rPr>
          <w:rFonts w:hint="default"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 w:val="0"/>
          <w:bCs/>
          <w:sz w:val="32"/>
          <w:szCs w:val="32"/>
          <w:lang w:val="en-US" w:eastAsia="zh-CN"/>
        </w:rPr>
        <w:t>常态化提醒，筑牢安全防线。在重要节假日、特殊天气时段及时推送安全提示，把安全提醒融入日常。</w:t>
      </w:r>
      <w:r>
        <w:rPr>
          <w:rFonts w:hint="default" w:ascii="Times New Roman" w:hAnsi="Times New Roman" w:eastAsia="仿宋_GB2312" w:cs="Times New Roman"/>
          <w:b/>
          <w:bCs w:val="0"/>
          <w:sz w:val="32"/>
          <w:szCs w:val="32"/>
          <w:lang w:val="en-US" w:eastAsia="zh-CN"/>
        </w:rPr>
        <w:t>四是</w:t>
      </w:r>
      <w:r>
        <w:rPr>
          <w:rFonts w:hint="default" w:ascii="Times New Roman" w:hAnsi="Times New Roman" w:eastAsia="仿宋_GB2312" w:cs="Times New Roman"/>
          <w:b w:val="0"/>
          <w:bCs/>
          <w:sz w:val="32"/>
          <w:szCs w:val="32"/>
          <w:lang w:val="en-US" w:eastAsia="zh-CN"/>
        </w:rPr>
        <w:t>源头治理，完善设施。协调物业在齿轮厂小区新增电动车集中充电棚及智能充电桩，辖区充电桩数量持续增加，从根源上满足居民安全充电需求。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 w:eastAsia="zh-CN"/>
        </w:rPr>
      </w:pP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val="en" w:eastAsia="zh-CN"/>
        </w:rPr>
        <w:t>环境卫生整治成效显著，垃圾堆放乱象得到有效治理</w:t>
      </w:r>
      <w:r>
        <w:rPr>
          <w:rFonts w:hint="eastAsia" w:ascii="Times New Roman" w:hAnsi="Times New Roman" w:eastAsia="仿宋_GB2312" w:cs="Times New Roman"/>
          <w:b/>
          <w:bCs w:val="0"/>
          <w:sz w:val="32"/>
          <w:szCs w:val="32"/>
          <w:lang w:val="en" w:eastAsia="zh-CN"/>
        </w:rPr>
        <w:t>。</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组建由党员志愿者、网格员组成的 “环境整治队”，对平房区、水泥厂宿舍、齿轮厂宿舍开展全域垃圾清理，累计清运垃圾2车次，清理卫生死角800余处。</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科学优化垃圾桶点位布局，在居民楼出入口、公共活动区新增分类垃圾桶，方便居民就近投放。</w:t>
      </w:r>
      <w:r>
        <w:rPr>
          <w:rFonts w:hint="default"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 w:val="0"/>
          <w:bCs/>
          <w:sz w:val="32"/>
          <w:szCs w:val="32"/>
          <w:lang w:val="en-US" w:eastAsia="zh-CN"/>
        </w:rPr>
        <w:t>开展“垃圾治理宣传周”活动，通过宣传栏、入户讲解等方式普及环境卫生知识，邀请居民参与垃圾清理志愿行动，已组织2场集体清理活动，覆盖居民200余人，增强了居民环境责任意识。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 w:eastAsia="zh-CN"/>
        </w:rPr>
      </w:pPr>
      <w:r>
        <w:rPr>
          <w:rFonts w:hint="default" w:ascii="Times New Roman" w:hAnsi="Times New Roman" w:eastAsia="仿宋_GB2312" w:cs="Times New Roman"/>
          <w:b/>
          <w:bCs w:val="0"/>
          <w:sz w:val="32"/>
          <w:szCs w:val="32"/>
          <w:highlight w:val="none"/>
          <w:lang w:val="en-US" w:eastAsia="zh-CN"/>
        </w:rPr>
        <w:t>4.</w:t>
      </w:r>
      <w:r>
        <w:rPr>
          <w:rFonts w:hint="default" w:ascii="Times New Roman" w:hAnsi="Times New Roman" w:eastAsia="仿宋_GB2312" w:cs="Times New Roman"/>
          <w:b/>
          <w:bCs w:val="0"/>
          <w:sz w:val="32"/>
          <w:szCs w:val="32"/>
          <w:highlight w:val="none"/>
          <w:lang w:val="en" w:eastAsia="zh-CN"/>
        </w:rPr>
        <w:t>养老服务形式更加丰富多元，服务供给能力持续提升。</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完善基础养老服务。升级社区敬老餐厅，提供“点餐+送餐”服务；联合社区卫生服务中心、医疗机构，每年开展1次“上门体检+慢病管理”服务。</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拓展精神文化服务。引入专业团队，每年组织“老年文艺表演”“怀旧电影放映”等活动，已开展活动2场，参与</w:t>
      </w:r>
      <w:r>
        <w:rPr>
          <w:rFonts w:hint="eastAsia" w:ascii="Times New Roman" w:hAnsi="Times New Roman" w:eastAsia="仿宋_GB2312" w:cs="Times New Roman"/>
          <w:b w:val="0"/>
          <w:bCs/>
          <w:sz w:val="32"/>
          <w:szCs w:val="32"/>
          <w:lang w:val="en-US" w:eastAsia="zh-CN"/>
        </w:rPr>
        <w:t>人数</w:t>
      </w:r>
      <w:r>
        <w:rPr>
          <w:rFonts w:hint="default" w:ascii="Times New Roman" w:hAnsi="Times New Roman" w:eastAsia="仿宋_GB2312" w:cs="Times New Roman"/>
          <w:b w:val="0"/>
          <w:bCs/>
          <w:sz w:val="32"/>
          <w:szCs w:val="32"/>
          <w:lang w:val="en-US" w:eastAsia="zh-CN"/>
        </w:rPr>
        <w:t>超120人，满足不同群体的文化需求。</w:t>
      </w:r>
      <w:r>
        <w:rPr>
          <w:rFonts w:hint="default"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 w:val="0"/>
          <w:bCs/>
          <w:sz w:val="32"/>
          <w:szCs w:val="32"/>
          <w:lang w:val="en-US" w:eastAsia="zh-CN"/>
        </w:rPr>
        <w:t>创新个性化服务模式。针对不愿离家的老人推出“居家养老服务包”，根据老人兴趣、健康状况提供 “上门理发”“陪同购物”等定制服务。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（四）关于聚焦群众身边不正之风和腐败问题情况方面</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 w:eastAsia="zh-CN"/>
        </w:rPr>
      </w:pPr>
      <w:r>
        <w:rPr>
          <w:rFonts w:hint="default" w:ascii="Times New Roman" w:hAnsi="Times New Roman" w:eastAsia="仿宋_GB2312" w:cs="Times New Roman"/>
          <w:b/>
          <w:bCs w:val="0"/>
          <w:sz w:val="32"/>
          <w:szCs w:val="32"/>
          <w:highlight w:val="none"/>
          <w:lang w:val="en-US" w:eastAsia="zh-CN"/>
        </w:rPr>
        <w:t>1</w:t>
      </w:r>
      <w:r>
        <w:rPr>
          <w:rFonts w:hint="default" w:ascii="Times New Roman" w:hAnsi="Times New Roman" w:eastAsia="仿宋_GB2312" w:cs="Times New Roman"/>
          <w:b/>
          <w:bCs w:val="0"/>
          <w:sz w:val="32"/>
          <w:szCs w:val="32"/>
          <w:highlight w:val="none"/>
          <w:lang w:val="en" w:eastAsia="zh-CN"/>
        </w:rPr>
        <w:t>.全面规范党务、居务、财务公开工作，信息公开更加真实、准确、规范。</w:t>
      </w:r>
      <w:r>
        <w:rPr>
          <w:rFonts w:hint="default" w:ascii="Times New Roman" w:hAnsi="Times New Roman" w:eastAsia="仿宋_GB2312" w:cs="Times New Roman"/>
          <w:b w:val="0"/>
          <w:bCs/>
          <w:sz w:val="32"/>
          <w:szCs w:val="32"/>
          <w:lang w:val="en-US" w:eastAsia="zh-CN"/>
        </w:rPr>
        <w:t>全面确保“三务更新及时”，常规内容每月更新1次；重大事项即时公开，确保信息及时准确；做到“内容全面”，对涉及居民切身利益的内容，单独设专栏公示，注明公示期，主动接受居民监督和问询。</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bCs w:val="0"/>
          <w:sz w:val="32"/>
          <w:szCs w:val="32"/>
          <w:highlight w:val="none"/>
          <w:lang w:val="en" w:eastAsia="zh-CN"/>
        </w:rPr>
      </w:pPr>
      <w:bookmarkStart w:id="1" w:name="OLE_LINK11"/>
      <w:r>
        <w:rPr>
          <w:rFonts w:hint="default" w:ascii="Times New Roman" w:hAnsi="Times New Roman" w:eastAsia="仿宋_GB2312" w:cs="Times New Roman"/>
          <w:b/>
          <w:bCs w:val="0"/>
          <w:sz w:val="32"/>
          <w:szCs w:val="32"/>
          <w:highlight w:val="none"/>
          <w:lang w:val="en-US" w:eastAsia="zh-CN"/>
        </w:rPr>
        <w:t>2.</w:t>
      </w:r>
      <w:r>
        <w:rPr>
          <w:rFonts w:hint="default" w:ascii="Times New Roman" w:hAnsi="Times New Roman" w:eastAsia="仿宋_GB2312" w:cs="Times New Roman"/>
          <w:b/>
          <w:bCs w:val="0"/>
          <w:sz w:val="32"/>
          <w:szCs w:val="32"/>
          <w:highlight w:val="none"/>
          <w:lang w:val="en" w:eastAsia="zh-CN"/>
        </w:rPr>
        <w:t>严格规范物资采购流程，物品采购价格合理合规。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严格落实社区财务采购要求，规范使用政采云采购平台，强化市场价格调研与比价。</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完善监督机制，对采购流程进行全程监督，重点审查采购价格合理性，广泛接受居民监督。</w:t>
      </w:r>
      <w:r>
        <w:rPr>
          <w:rFonts w:hint="default" w:ascii="Times New Roman" w:hAnsi="Times New Roman" w:eastAsia="仿宋_GB2312" w:cs="Times New Roman"/>
          <w:b/>
          <w:bCs w:val="0"/>
          <w:sz w:val="32"/>
          <w:szCs w:val="32"/>
          <w:lang w:val="en-US" w:eastAsia="zh-CN"/>
        </w:rPr>
        <w:t>三是</w:t>
      </w:r>
      <w:r>
        <w:rPr>
          <w:rFonts w:hint="default" w:ascii="Times New Roman" w:hAnsi="Times New Roman" w:eastAsia="仿宋_GB2312" w:cs="Times New Roman"/>
          <w:b w:val="0"/>
          <w:bCs/>
          <w:sz w:val="32"/>
          <w:szCs w:val="32"/>
          <w:lang w:val="en-US" w:eastAsia="zh-CN"/>
        </w:rPr>
        <w:t>强化纪律约束，社区严格执行采购标准，严把价格关口，主动接受街道审核把关，确保采购事项合规合理。</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bCs w:val="0"/>
          <w:sz w:val="32"/>
          <w:szCs w:val="32"/>
          <w:lang w:val="en" w:eastAsia="zh-CN"/>
        </w:rPr>
      </w:pP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val="en" w:eastAsia="zh-CN"/>
        </w:rPr>
        <w:t>经费使用全面规范，资金使用效益显著提升。</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严格落实社区财务制度，实施精准管控，科学统筹活动开展与经费使用，压缩非必要开支。制定“事前申请—事中把控—事后核查”流程，对经费使用全过程加强监督管控</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完善监督机制，对经费使用流程进行全程监督，重点审查经费使用合理性，主动接受居民监督；自觉接受街道经费使用审核把关，对不符合要求的一律规范调整，在各类活动中强化节约意识，杜绝铺张浪费。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三、</w:t>
      </w:r>
      <w:r>
        <w:rPr>
          <w:rFonts w:hint="default" w:ascii="Times New Roman" w:hAnsi="Times New Roman" w:eastAsia="黑体" w:cs="Times New Roman"/>
          <w:b w:val="0"/>
          <w:bCs/>
          <w:sz w:val="32"/>
          <w:szCs w:val="32"/>
          <w:lang w:val="en-US" w:eastAsia="zh-CN"/>
        </w:rPr>
        <w:t>下一步工作打算</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持续强化理论武装，筑牢政治建设根基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坚持把学习贯彻习近平新时代中国特色社会主义思想和党的二十大精神作为首要政治任务，持续深化“每月集中学习+专题研讨”的学习模式，不断丰富学习内容、创新学习载体，推动理论学习往深里走、往实里走、往心里走。建立学习成果转化台账，围绕基层治理、民生服务、矛盾化解等重点工作，每季度开展1次集中学习，引导社区工作人员将学习成果转化为解决实际问题、提升服务质效的具体行动，切实以理论武装引领社区各项工作高质量开展。</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深化党建引领作用，提升基层治理效能</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进一步规范党委议事决策程序，严格执行民主集中制，不断提升党委把方向、管大局、作决策、保落实的能力。持续加强党员教育管理，健全党员激励约束机制，着力破解流动党员、年老体弱党员教育管理难题，不断增强党组织的凝聚力和战斗力。深化“党建+网格”治理模式，推动党组织体系与网格治理体系深度融合，充分发挥党员在安全排查、环境整治、民生服务等工作中的先锋模范作用，构建“党组织引领、党员带头、群众参与”的基层治理新格局。​</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聚焦民生重点领域，持续增进民生福祉</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坚持以人民为中心的发展思想，持续聚焦群众急难愁盼问题，不断提升服务精准度和实效性。在安全治理方面，进一步</w:t>
      </w:r>
      <w:r>
        <w:rPr>
          <w:rFonts w:hint="eastAsia" w:ascii="Times New Roman" w:hAnsi="Times New Roman" w:eastAsia="仿宋_GB2312" w:cs="Times New Roman"/>
          <w:b w:val="0"/>
          <w:bCs/>
          <w:sz w:val="32"/>
          <w:szCs w:val="32"/>
          <w:lang w:val="en-US" w:eastAsia="zh-CN"/>
        </w:rPr>
        <w:t>加</w:t>
      </w:r>
      <w:r>
        <w:rPr>
          <w:rFonts w:hint="default" w:ascii="Times New Roman" w:hAnsi="Times New Roman" w:eastAsia="仿宋_GB2312" w:cs="Times New Roman"/>
          <w:b w:val="0"/>
          <w:bCs/>
          <w:sz w:val="32"/>
          <w:szCs w:val="32"/>
          <w:lang w:val="en-US" w:eastAsia="zh-CN"/>
        </w:rPr>
        <w:t>强安全排查，优化“分层排查+闭环管理”机制，定期开展安全知识宣传和应急演练，持续完善电动车充电桩等基础设施，筑牢社区安全防线。在环境整治方面，巩固垃圾清理整治成果，健全常态化环境卫生管护机制，深化垃圾分类宣传引导，推动社区环境持续改善。在养老服务方面，持续丰富服务内容、创新服务模式，引入更多专业资源开展老年文化、健康养生等特色活动，不断满足老年人多元化养老需求。​</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从严抓好作风建设，健全长效监督机制</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始终坚持问题导向，对巡察整改事项定期开展“回头看”，对已完成的整改任务，持续跟踪问效，防止问题反弹；对需要长期坚持的整改举措，细化阶段性目标，稳步推进落实。进一步健全监督制约机制，严格执行党务、居务、财务制度，拓宽居民监督渠道，及时回应群众关切。加强社区工作人员纪律作风教育，定期开展廉政警示教育和业务培训，不断提升工作人员的责任意识、服务意识和廉洁自律意识，以过硬作风为社区高质量发展提供坚强保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欢迎广大干部群众对巡察整改落实情况进行监督。如有意见建议，请及时向我们反映。联系电话：0431-84713983（工作日8：30-17：00）；邮政信箱：长春市二道区远达大街荷兰小镇37栋125室东荣社区；邮编：130000</w:t>
      </w:r>
      <w:bookmarkStart w:id="2" w:name="_GoBack"/>
      <w:bookmarkEnd w:id="2"/>
      <w:r>
        <w:rPr>
          <w:rFonts w:hint="default" w:ascii="Times New Roman" w:hAnsi="Times New Roman" w:eastAsia="仿宋_GB2312" w:cs="Times New Roman"/>
          <w:b w:val="0"/>
          <w:bCs/>
          <w:sz w:val="32"/>
          <w:szCs w:val="32"/>
          <w:lang w:val="en-US" w:eastAsia="zh-CN"/>
        </w:rPr>
        <w:t>。</w:t>
      </w:r>
    </w:p>
    <w:sectPr>
      <w:footerReference r:id="rId5" w:type="default"/>
      <w:pgSz w:w="11906" w:h="16838"/>
      <w:pgMar w:top="2154" w:right="1531" w:bottom="1871" w:left="1531"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r>
                  <w:rPr>
                    <w:rFonts w:hint="eastAsia" w:ascii="宋体" w:hAnsi="宋体" w:eastAsia="宋体" w:cs="宋体"/>
                    <w:sz w:val="28"/>
                    <w:szCs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E56A"/>
    <w:multiLevelType w:val="singleLevel"/>
    <w:tmpl w:val="AB31E5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3727B27"/>
    <w:rsid w:val="07234BDD"/>
    <w:rsid w:val="0B4C4803"/>
    <w:rsid w:val="0DA26C50"/>
    <w:rsid w:val="0ED35A39"/>
    <w:rsid w:val="177EA5B5"/>
    <w:rsid w:val="24B45837"/>
    <w:rsid w:val="2F4D5C0E"/>
    <w:rsid w:val="2FFF7A58"/>
    <w:rsid w:val="33455BDE"/>
    <w:rsid w:val="37EFC7B3"/>
    <w:rsid w:val="3FFDF7D6"/>
    <w:rsid w:val="4374507E"/>
    <w:rsid w:val="4AB93821"/>
    <w:rsid w:val="4CFE79DB"/>
    <w:rsid w:val="61FF9958"/>
    <w:rsid w:val="63491976"/>
    <w:rsid w:val="665619E1"/>
    <w:rsid w:val="6FDCD704"/>
    <w:rsid w:val="72A25402"/>
    <w:rsid w:val="77FDFD4D"/>
    <w:rsid w:val="79EFA6FC"/>
    <w:rsid w:val="7B59B7E9"/>
    <w:rsid w:val="7D0823E1"/>
    <w:rsid w:val="7D45EACB"/>
    <w:rsid w:val="7FFD1BD0"/>
    <w:rsid w:val="AFEFCD48"/>
    <w:rsid w:val="AFF8334D"/>
    <w:rsid w:val="B77B4BEC"/>
    <w:rsid w:val="B9370123"/>
    <w:rsid w:val="BFBFC8A8"/>
    <w:rsid w:val="D7F2F47E"/>
    <w:rsid w:val="D7FFAC43"/>
    <w:rsid w:val="DB4E30F2"/>
    <w:rsid w:val="DDFB40C8"/>
    <w:rsid w:val="DFFD93E0"/>
    <w:rsid w:val="DFFF58D2"/>
    <w:rsid w:val="E77425E8"/>
    <w:rsid w:val="E7EB5A45"/>
    <w:rsid w:val="FBDE8D09"/>
    <w:rsid w:val="FD5E010C"/>
    <w:rsid w:val="FDBD33B6"/>
    <w:rsid w:val="FDE799D0"/>
    <w:rsid w:val="FFBB34A2"/>
    <w:rsid w:val="FFD9C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3613</Words>
  <Characters>3682</Characters>
  <Lines>1</Lines>
  <Paragraphs>1</Paragraphs>
  <TotalTime>2</TotalTime>
  <ScaleCrop>false</ScaleCrop>
  <LinksUpToDate>false</LinksUpToDate>
  <CharactersWithSpaces>3737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2008-09-15T17:20:00Z</dcterms:created>
  <dc:creator>Administrator</dc:creator>
  <cp:lastModifiedBy>uos</cp:lastModifiedBy>
  <cp:lastPrinted>2026-04-29T01:15:00Z</cp:lastPrinted>
  <dcterms:modified xsi:type="dcterms:W3CDTF">2026-04-29T11:07:51Z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4B36902462B0402C8DFA4530F7ABE9A7</vt:lpwstr>
  </property>
  <property fmtid="{D5CDD505-2E9C-101B-9397-08002B2CF9AE}" pid="4" name="KSOTemplateDocerSaveRecord">
    <vt:lpwstr>eyJoZGlkIjoiMTJkMDZkZmMyODc3NjljNGRiYTk0ZGY1ZTYyZmY5OGQiLCJ1c2VySWQiOiIyOTgwMDg4NDUifQ==</vt:lpwstr>
  </property>
</Properties>
</file>