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" w:eastAsia="zh-CN"/>
        </w:rPr>
        <w:t>附件</w:t>
      </w: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  <w:t>7-6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8"/>
          <w:sz w:val="44"/>
          <w:szCs w:val="44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8"/>
          <w:sz w:val="44"/>
          <w:szCs w:val="44"/>
          <w:lang w:val="en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8"/>
          <w:sz w:val="44"/>
          <w:szCs w:val="44"/>
          <w:lang w:val="en" w:eastAsia="zh-CN"/>
        </w:rPr>
        <w:t>中共长春市二道区荣光街道四通社区委员会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关于六届区委第五轮巡察整改进展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根据区委统一部署，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月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至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月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，区委第四巡察组对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中共二道区荣光街道四通社区委员会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以下简称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四通社区党委</w:t>
      </w:r>
      <w:r>
        <w:rPr>
          <w:rFonts w:hint="eastAsia" w:eastAsia="仿宋_GB2312" w:cs="Times New Roman"/>
          <w:b w:val="0"/>
          <w:bCs/>
          <w:spacing w:val="8"/>
          <w:sz w:val="32"/>
          <w:szCs w:val="32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开展了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巡察。2025年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，区委巡察组向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四通社区党委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反馈了巡察意见。按照巡察工作有关要求，现将巡察整改进展情况予以公开。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党委履行整改主体责任情况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四通社区党委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对照巡察反馈意见，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第一时间召开整改部署会，成立专项整改工作专班，逐项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细化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整改措施、压实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责任、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明确完成时限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。坚持问题导向与结果导向相统一，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统筹推进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理论学习、阵地规范、民生服务等核心整改任务，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eastAsia="zh-CN"/>
        </w:rPr>
        <w:t>确保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</w:rPr>
        <w:t>各项整改工作落地见效。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</w:rPr>
        <w:t>（一）聚焦落实基层治理政治责任情况方面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</w:rPr>
        <w:t>1.强化理论学习常态化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落实每月1个上午“理论学习日”制度，推行“领学+研讨”学习模式，由党委成员带头领学党的二十大精神及党的创新理论，推动党员干部理论学习入脑入心，切实提升基层治理政治站位和履职能力，保障学习实效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2.完善党的理论宣传阵地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highlight w:val="none"/>
          <w:lang w:val="en" w:eastAsia="zh-CN"/>
        </w:rPr>
        <w:t>在学习板块专项增设习近平新时代中国特色社会主义思想内容，全面梳理核心要义、精神实质等关键知识点，由社区党委副书记全程把关学习成效；同时依托社区微信群不定期推送理论学习内容，拓宽学习覆盖面，让党的理论政策直达居民群众，筑牢基层思想阵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lang w:val="en"/>
        </w:rPr>
        <w:t>聚焦党建引领基层治理情况方面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1.规范委员公示信息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全面核查梳理党委委员信息，补充完善未公示人员的姓名、职务、分工等内容，确保公示信息完整清晰；安排专人负责公示栏管理，每季度定期核对更新委员信息，保障群众知情权，推动社区班子运行公开透明。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2.建立党员动态管理台账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全面摸排全体党员信息，精准掌握老弱病残、长期外出党员实际情况，实时动态更新台账；严格规范党员大会组织流程，依据台账精准核定应到人数，进一步提升党员管理规范化水平，增强党组织凝聚力。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 w:val="0"/>
          <w:bCs/>
          <w:spacing w:val="8"/>
          <w:sz w:val="32"/>
          <w:szCs w:val="32"/>
          <w:lang w:val="en"/>
        </w:rPr>
        <w:t>聚焦群众身边不正之风和腐败问题情况方面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1.优化网格会议制度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建立“月例会+随时点召”网格会议机制，由社区</w:t>
      </w:r>
      <w:r>
        <w:rPr>
          <w:rFonts w:hint="eastAsia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书记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主持，每月定期召开、遇事即时商议，确保全体网格长参会，有效畅通基层议事渠道，快速响应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解决居民各类诉求，提升网格治理效率。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2.精准完善慰问对象信息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由民政工作人员牵头，联合网格人员开展入户走访、电话排查，逐一细化慰问对象信息，详细记录具体病症、家庭收入、实际帮扶需求等内容，完善困难群众台账，实现精准识别、精准帮扶，切实把惠民帮扶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3.提升公示栏信息完整性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补充完善“职工风采”板块工作人员姓名、职务、分管工作等信息，方便群众办事查询；全面清理党务、居务、财务公开栏遮挡杂物，严格按照财务每月、党务居务每季度更新，惠民政策及时更新的要求完善公示内容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安排民政人员每周巡查检查，保障公示信息完整规范，主动接受群众监督。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4.规范经费使用流程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符合条件的采购项目通过政采云平台比价采购，严控采购合规性，实行财务人员与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居务监督委员会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共同审核机制，严控采购流程；活动结束后10个工作日内，及时公示经费使用明细，主动公开采购项目、价格、供应商等信息，全程接受群众监督。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4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highlight w:val="none"/>
          <w:lang w:val="en"/>
        </w:rPr>
        <w:t>5.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/>
        </w:rPr>
        <w:t>强化下水道疏通项目监管</w:t>
      </w:r>
      <w:r>
        <w:rPr>
          <w:rFonts w:hint="default" w:ascii="Times New Roman" w:hAnsi="Times New Roman" w:eastAsia="仿宋_GB2312" w:cs="Times New Roman"/>
          <w:b/>
          <w:bCs w:val="0"/>
          <w:spacing w:val="8"/>
          <w:sz w:val="32"/>
          <w:szCs w:val="32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"/>
        </w:rPr>
        <w:t>提前对接第三方服务公司，在项目合同中明确质保期限、服务质量标准，压实服务责任；由社区监委全程监督施工过程，逐次开展疏通验收，确保施工质量，切实解决居民民生难题。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（一）强化理论武装。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筑牢思想根基，持续落实“理论学习日”制度，丰富学习内容与形式，推动理论武装走深走实。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（二）抓实制度落实。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定期更新党员动态管理台账，确保底数清、情况明。对网格会议、公示公开、经费使用等制度落实情况进行抽查，防止问题反弹。严格比价采购、合同审核、验收公示流程，强化过程监管，确保资金使用规范高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（三）深化整改成果。</w:t>
      </w:r>
      <w:r>
        <w:rPr>
          <w:rFonts w:hint="default" w:ascii="Times New Roman" w:hAnsi="Times New Roman" w:eastAsia="仿宋_GB2312" w:cs="Times New Roman"/>
          <w:b w:val="0"/>
          <w:bCs/>
          <w:spacing w:val="8"/>
          <w:sz w:val="32"/>
          <w:szCs w:val="32"/>
          <w:lang w:val="en-US" w:eastAsia="zh-CN"/>
        </w:rPr>
        <w:t>优化线上线下公示载体，及时公开信息，定期收集群众意见，以满意度检验整改成效。固化整改经验，融入日常工作，定期自查自纠，推动基层治理持续提升。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欢迎广大干部群众对巡察整改落实情况进行监督。如有意见建议，请及时向我们反映。联系地址：长春市二道区四通路御景名都A区9栋101室，邮政编码：130031，联系电话：0431-84764117（工作日9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z w:val="32"/>
          <w:szCs w:val="32"/>
          <w:u w:val="none"/>
          <w:shd w:val="clear" w:fill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00-16</w:t>
      </w:r>
      <w:r>
        <w:rPr>
          <w:rFonts w:hint="default" w:ascii="Times New Roman" w:hAnsi="Times New Roman" w:eastAsia="仿宋_GB2312" w:cs="Times New Roman"/>
          <w:b w:val="0"/>
          <w:bCs/>
          <w:strike w:val="0"/>
          <w:dstrike w:val="0"/>
          <w:color w:val="auto"/>
          <w:sz w:val="32"/>
          <w:szCs w:val="32"/>
          <w:u w:val="none"/>
          <w:shd w:val="clear" w:fill="auto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30）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DE79E0"/>
    <w:multiLevelType w:val="singleLevel"/>
    <w:tmpl w:val="BFDE79E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3DEDF6E"/>
    <w:multiLevelType w:val="singleLevel"/>
    <w:tmpl w:val="F3DEDF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27256"/>
    <w:rsid w:val="04CB23DC"/>
    <w:rsid w:val="14266EF0"/>
    <w:rsid w:val="147B51D8"/>
    <w:rsid w:val="14D34FC0"/>
    <w:rsid w:val="218F4B3B"/>
    <w:rsid w:val="36427256"/>
    <w:rsid w:val="4F4423A9"/>
    <w:rsid w:val="53F942FB"/>
    <w:rsid w:val="57CF1F1C"/>
    <w:rsid w:val="5ABBE759"/>
    <w:rsid w:val="5D977848"/>
    <w:rsid w:val="637E3CCF"/>
    <w:rsid w:val="73EB2E46"/>
    <w:rsid w:val="74FB498F"/>
    <w:rsid w:val="779EBB91"/>
    <w:rsid w:val="7B8F5F70"/>
    <w:rsid w:val="7DFD1775"/>
    <w:rsid w:val="7E7127B0"/>
    <w:rsid w:val="7E9C8907"/>
    <w:rsid w:val="7EFB3582"/>
    <w:rsid w:val="7F57EA69"/>
    <w:rsid w:val="9FBFCB9E"/>
    <w:rsid w:val="B2FF6BE0"/>
    <w:rsid w:val="B63B9487"/>
    <w:rsid w:val="BEFFF411"/>
    <w:rsid w:val="BFFDB300"/>
    <w:rsid w:val="D2FBCC65"/>
    <w:rsid w:val="D7F76735"/>
    <w:rsid w:val="DFFDB316"/>
    <w:rsid w:val="EAFF4E97"/>
    <w:rsid w:val="EC7F0B6A"/>
    <w:rsid w:val="F3FE6AE1"/>
    <w:rsid w:val="F6FE9CC6"/>
    <w:rsid w:val="FBFDD75A"/>
    <w:rsid w:val="FCEDEBC6"/>
    <w:rsid w:val="FDFD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1758</Words>
  <Characters>1799</Characters>
  <Lines>0</Lines>
  <Paragraphs>0</Paragraphs>
  <TotalTime>1</TotalTime>
  <ScaleCrop>false</ScaleCrop>
  <LinksUpToDate>false</LinksUpToDate>
  <CharactersWithSpaces>1799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2026-03-29T17:46:00Z</dcterms:created>
  <dc:creator>Administrator</dc:creator>
  <cp:lastModifiedBy>uos</cp:lastModifiedBy>
  <dcterms:modified xsi:type="dcterms:W3CDTF">2026-04-29T10:50:50Z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KSOTemplateDocerSaveRecord">
    <vt:lpwstr>eyJoZGlkIjoiYzkyODIwYTdjNmVjZmYxNDQ0NmVmZmQyZWZjMzk4NmUiLCJ1c2VySWQiOiIxNDI0NDg4MTA4In0=</vt:lpwstr>
  </property>
  <property fmtid="{D5CDD505-2E9C-101B-9397-08002B2CF9AE}" pid="4" name="ICV">
    <vt:lpwstr>9243FFE09A6041BF982AEFC18871955B_13</vt:lpwstr>
  </property>
</Properties>
</file>