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9D3DA">
      <w:pPr>
        <w:pStyle w:val="9"/>
        <w:widowControl/>
        <w:spacing w:before="450" w:after="450" w:line="600" w:lineRule="exact"/>
        <w:ind w:right="450"/>
        <w:jc w:val="center"/>
        <w:rPr>
          <w:rFonts w:ascii="黑体" w:hAnsi="黑体" w:eastAsia="黑体" w:cs="黑体"/>
          <w:sz w:val="36"/>
          <w:szCs w:val="36"/>
          <w:u w:val="double"/>
        </w:rPr>
      </w:pPr>
      <w:r>
        <w:rPr>
          <w:rFonts w:hint="eastAsia" w:ascii="黑体" w:hAnsi="黑体" w:eastAsia="黑体" w:cs="黑体"/>
          <w:sz w:val="36"/>
          <w:szCs w:val="36"/>
          <w:u w:val="double"/>
          <w:lang w:val="en-US" w:eastAsia="zh-CN"/>
        </w:rPr>
        <w:t>第二轮</w:t>
      </w:r>
      <w:r>
        <w:rPr>
          <w:rFonts w:hint="eastAsia" w:ascii="黑体" w:hAnsi="黑体" w:eastAsia="黑体" w:cs="黑体"/>
          <w:sz w:val="36"/>
          <w:szCs w:val="36"/>
          <w:u w:val="double"/>
        </w:rPr>
        <w:t>吉林省</w:t>
      </w:r>
      <w:r>
        <w:rPr>
          <w:rFonts w:hint="eastAsia" w:ascii="黑体" w:hAnsi="黑体" w:eastAsia="黑体" w:cs="黑体"/>
          <w:sz w:val="36"/>
          <w:szCs w:val="36"/>
          <w:u w:val="double"/>
          <w:lang w:val="en-US" w:eastAsia="zh-CN"/>
        </w:rPr>
        <w:t>生态</w:t>
      </w:r>
      <w:r>
        <w:rPr>
          <w:rFonts w:hint="eastAsia" w:ascii="黑体" w:hAnsi="黑体" w:eastAsia="黑体" w:cs="黑体"/>
          <w:sz w:val="36"/>
          <w:szCs w:val="36"/>
          <w:u w:val="double"/>
        </w:rPr>
        <w:t>环</w:t>
      </w:r>
      <w:r>
        <w:rPr>
          <w:rFonts w:hint="eastAsia" w:ascii="黑体" w:hAnsi="黑体" w:eastAsia="黑体" w:cs="黑体"/>
          <w:sz w:val="36"/>
          <w:szCs w:val="36"/>
          <w:u w:val="double"/>
          <w:lang w:val="en-US" w:eastAsia="zh-CN"/>
        </w:rPr>
        <w:t>境</w:t>
      </w:r>
      <w:r>
        <w:rPr>
          <w:rFonts w:hint="eastAsia" w:ascii="黑体" w:hAnsi="黑体" w:eastAsia="黑体" w:cs="黑体"/>
          <w:sz w:val="36"/>
          <w:szCs w:val="36"/>
          <w:u w:val="double"/>
        </w:rPr>
        <w:t>保</w:t>
      </w:r>
      <w:r>
        <w:rPr>
          <w:rFonts w:hint="eastAsia" w:ascii="黑体" w:hAnsi="黑体" w:eastAsia="黑体" w:cs="黑体"/>
          <w:sz w:val="36"/>
          <w:szCs w:val="36"/>
          <w:u w:val="double"/>
          <w:lang w:val="en-US" w:eastAsia="zh-CN"/>
        </w:rPr>
        <w:t>护</w:t>
      </w:r>
      <w:r>
        <w:rPr>
          <w:rFonts w:hint="eastAsia" w:ascii="黑体" w:hAnsi="黑体" w:eastAsia="黑体" w:cs="黑体"/>
          <w:sz w:val="36"/>
          <w:szCs w:val="36"/>
          <w:u w:val="double"/>
        </w:rPr>
        <w:t>督察反馈问题整改</w:t>
      </w:r>
      <w:r>
        <w:rPr>
          <w:rFonts w:hint="eastAsia" w:ascii="黑体" w:hAnsi="黑体" w:eastAsia="黑体" w:cs="黑体"/>
          <w:sz w:val="36"/>
          <w:szCs w:val="36"/>
          <w:u w:val="double"/>
          <w:lang w:val="en-US" w:eastAsia="zh-CN"/>
        </w:rPr>
        <w:t>任务</w:t>
      </w:r>
      <w:r>
        <w:rPr>
          <w:rFonts w:hint="eastAsia" w:ascii="黑体" w:hAnsi="黑体" w:eastAsia="黑体" w:cs="黑体"/>
          <w:sz w:val="36"/>
          <w:szCs w:val="36"/>
          <w:u w:val="double"/>
        </w:rPr>
        <w:t>完成情况</w:t>
      </w:r>
    </w:p>
    <w:tbl>
      <w:tblPr>
        <w:tblStyle w:val="11"/>
        <w:tblW w:w="15180" w:type="dxa"/>
        <w:tblInd w:w="0" w:type="dxa"/>
        <w:tblLayout w:type="fixed"/>
        <w:tblCellMar>
          <w:top w:w="15" w:type="dxa"/>
          <w:left w:w="15" w:type="dxa"/>
          <w:bottom w:w="15" w:type="dxa"/>
          <w:right w:w="15" w:type="dxa"/>
        </w:tblCellMar>
      </w:tblPr>
      <w:tblGrid>
        <w:gridCol w:w="409"/>
        <w:gridCol w:w="682"/>
        <w:gridCol w:w="2506"/>
        <w:gridCol w:w="1284"/>
        <w:gridCol w:w="4283"/>
        <w:gridCol w:w="6016"/>
      </w:tblGrid>
      <w:tr w14:paraId="33412343">
        <w:tblPrEx>
          <w:tblCellMar>
            <w:top w:w="15" w:type="dxa"/>
            <w:left w:w="15" w:type="dxa"/>
            <w:bottom w:w="15" w:type="dxa"/>
            <w:right w:w="15" w:type="dxa"/>
          </w:tblCellMar>
        </w:tblPrEx>
        <w:trPr>
          <w:trHeight w:val="678" w:hRule="atLeast"/>
        </w:trPr>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14:paraId="47C789DB">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序号</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62EDF2F0">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任务</w:t>
            </w:r>
          </w:p>
          <w:p w14:paraId="51DF590E">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序号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14:paraId="579C68C8">
            <w:pPr>
              <w:jc w:val="center"/>
              <w:rPr>
                <w:rFonts w:hint="eastAsia" w:cs="黑体" w:asciiTheme="minorEastAsia" w:hAnsiTheme="minorEastAsia" w:eastAsiaTheme="minorEastAsia"/>
                <w:color w:val="000000"/>
                <w:sz w:val="18"/>
                <w:szCs w:val="18"/>
                <w:lang w:eastAsia="zh-CN"/>
              </w:rPr>
            </w:pPr>
            <w:r>
              <w:rPr>
                <w:rFonts w:hint="eastAsia" w:cs="黑体" w:asciiTheme="minorEastAsia" w:hAnsiTheme="minorEastAsia"/>
                <w:color w:val="000000"/>
                <w:sz w:val="18"/>
                <w:szCs w:val="18"/>
              </w:rPr>
              <w:t>整改</w:t>
            </w:r>
            <w:r>
              <w:rPr>
                <w:rFonts w:hint="eastAsia" w:cs="黑体" w:asciiTheme="minorEastAsia" w:hAnsiTheme="minorEastAsia"/>
                <w:color w:val="000000"/>
                <w:sz w:val="18"/>
                <w:szCs w:val="18"/>
                <w:lang w:val="en-US" w:eastAsia="zh-CN"/>
              </w:rPr>
              <w:t>问题</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748FE27">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整改目标</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14:paraId="696484BD">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整改措施</w:t>
            </w:r>
          </w:p>
        </w:tc>
        <w:tc>
          <w:tcPr>
            <w:tcW w:w="6016" w:type="dxa"/>
            <w:tcBorders>
              <w:top w:val="single" w:color="auto" w:sz="4" w:space="0"/>
              <w:left w:val="single" w:color="auto" w:sz="4" w:space="0"/>
              <w:bottom w:val="single" w:color="auto" w:sz="4" w:space="0"/>
              <w:right w:val="single" w:color="auto" w:sz="4" w:space="0"/>
            </w:tcBorders>
            <w:shd w:val="clear" w:color="auto" w:fill="auto"/>
            <w:vAlign w:val="center"/>
          </w:tcPr>
          <w:p w14:paraId="2B0796B9">
            <w:pPr>
              <w:jc w:val="center"/>
              <w:rPr>
                <w:rFonts w:hint="eastAsia" w:cs="黑体" w:asciiTheme="minorEastAsia" w:hAnsiTheme="minorEastAsia" w:eastAsiaTheme="minorEastAsia"/>
                <w:color w:val="000000"/>
                <w:sz w:val="18"/>
                <w:szCs w:val="18"/>
                <w:lang w:eastAsia="zh-CN"/>
              </w:rPr>
            </w:pPr>
            <w:r>
              <w:rPr>
                <w:rFonts w:hint="eastAsia" w:cs="黑体" w:asciiTheme="minorEastAsia" w:hAnsiTheme="minorEastAsia"/>
                <w:color w:val="000000"/>
                <w:sz w:val="18"/>
                <w:szCs w:val="18"/>
              </w:rPr>
              <w:t>整改</w:t>
            </w:r>
            <w:r>
              <w:rPr>
                <w:rFonts w:hint="eastAsia" w:cs="黑体" w:asciiTheme="minorEastAsia" w:hAnsiTheme="minorEastAsia"/>
                <w:color w:val="000000"/>
                <w:sz w:val="18"/>
                <w:szCs w:val="18"/>
                <w:lang w:val="en-US" w:eastAsia="zh-CN"/>
              </w:rPr>
              <w:t>成效</w:t>
            </w:r>
          </w:p>
        </w:tc>
      </w:tr>
      <w:tr w14:paraId="55C0766C">
        <w:tblPrEx>
          <w:tblCellMar>
            <w:top w:w="15" w:type="dxa"/>
            <w:left w:w="15" w:type="dxa"/>
            <w:bottom w:w="15" w:type="dxa"/>
            <w:right w:w="15" w:type="dxa"/>
          </w:tblCellMar>
        </w:tblPrEx>
        <w:trPr>
          <w:trHeight w:val="1078" w:hRule="atLeast"/>
        </w:trPr>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14:paraId="36CB473D">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7F0D91DB">
            <w:pPr>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color w:val="000000"/>
                <w:sz w:val="18"/>
                <w:szCs w:val="18"/>
                <w:lang w:val="en-US" w:eastAsia="zh-CN"/>
              </w:rPr>
              <w:t>序号十</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14:paraId="1C3E32E2">
            <w:pP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部分污水处理厂管理还存在问题。双阳区山河、齐家污水处理厂进水污染物浓度长期偏低，手工检测COD浓度50mg/L以下，最低至25.46mg/L，进水水质偏低造成消耗大量补充碳源，氨氮及总磷去除剂大量使用，稳定运行难度加大。长春绿园西新工业集中区、九台卡伦污水处理厂进水COD监测数值最高达1000mg/L，农安县合隆镇污水处理厂进水氨氮浓度较高，进水水质浓度高，导致部分污水处理厂处理负荷重，运行不稳定。</w:t>
            </w:r>
          </w:p>
          <w:p w14:paraId="44614E3D">
            <w:pP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部分乡镇污水处理设施设计规模偏大，实际处理水量过低，设施难以保证长期稳定运行。农安县巴吉垒污水处理厂近期设计处理能力2000m3/d，目前土建设施基本完工。根据需要，目前安装一套临时污水处理设备，处理能力为1000m3/d，投入运行以来实际日平均处理水量约为300m3，按原设计处理能力核算，负荷仅为15%，按临时污水处理设施处理能力核算，负荷仅为30%。朝阳区乐山镇污水处理厂设计处理能力10000m3/d，实际平均处理仅为2500m3/d，负荷为25%。农安县靠山镇污水处理厂设计处理能力600m3/d，实际日均处理量约为150m3，最低日处理量10m3，运行负荷低于30%。德惠市朱城子镇污水处理厂设计处理能力10000m3/d，实际日均处理量约为1700m3，负荷为17%。进水量少，负荷低，造成设施运行效率低，难于稳定运行，浪费大量资源。</w:t>
            </w:r>
          </w:p>
          <w:p w14:paraId="1EBAACCC">
            <w:pPr>
              <w:rPr>
                <w:rFonts w:hint="eastAsia" w:cs="宋体" w:asciiTheme="minorEastAsia" w:hAnsiTheme="minorEastAsia" w:eastAsiaTheme="minorEastAsia"/>
                <w:sz w:val="18"/>
                <w:szCs w:val="18"/>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3AD12037">
            <w:pPr>
              <w:rPr>
                <w:rFonts w:cs="宋体" w:asciiTheme="minorEastAsia" w:hAnsiTheme="minorEastAsia"/>
                <w:sz w:val="18"/>
                <w:szCs w:val="18"/>
              </w:rPr>
            </w:pPr>
            <w:r>
              <w:rPr>
                <w:rFonts w:hint="default" w:cs="宋体" w:asciiTheme="minorEastAsia" w:hAnsiTheme="minorEastAsia"/>
                <w:sz w:val="18"/>
                <w:szCs w:val="18"/>
              </w:rPr>
              <w:t>辖区内英俊污水处理厂运行管理得到加强。</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14:paraId="3AF7159B">
            <w:pPr>
              <w:rPr>
                <w:rFonts w:hint="default" w:cs="宋体" w:asciiTheme="minorEastAsia" w:hAnsiTheme="minorEastAsia"/>
                <w:sz w:val="18"/>
                <w:szCs w:val="18"/>
              </w:rPr>
            </w:pPr>
            <w:r>
              <w:rPr>
                <w:rFonts w:hint="default" w:cs="宋体" w:asciiTheme="minorEastAsia" w:hAnsiTheme="minorEastAsia"/>
                <w:sz w:val="18"/>
                <w:szCs w:val="18"/>
              </w:rPr>
              <w:t>（一）二道经济开发区对污水处理厂配套管网进行全面疏通，发现堵漏情况及时处理，确保管线畅通，同时加强对污水处理厂监管，对污水处理厂严格实施“超低排放”管控要求。</w:t>
            </w:r>
          </w:p>
          <w:p w14:paraId="023ADD7F">
            <w:pPr>
              <w:rPr>
                <w:rFonts w:cs="宋体" w:asciiTheme="minorEastAsia" w:hAnsiTheme="minorEastAsia"/>
                <w:sz w:val="18"/>
                <w:szCs w:val="18"/>
              </w:rPr>
            </w:pPr>
            <w:r>
              <w:rPr>
                <w:rFonts w:hint="default" w:cs="宋体" w:asciiTheme="minorEastAsia" w:hAnsiTheme="minorEastAsia"/>
                <w:sz w:val="18"/>
                <w:szCs w:val="18"/>
              </w:rPr>
              <w:t>（二）区生态环境分局加强对辖区内污水处理厂的监督检查，重点检查排水方式、污水处理设施运行情况等，督促做到稳定达标排放。</w:t>
            </w:r>
          </w:p>
        </w:tc>
        <w:tc>
          <w:tcPr>
            <w:tcW w:w="6016" w:type="dxa"/>
            <w:tcBorders>
              <w:top w:val="single" w:color="auto" w:sz="4" w:space="0"/>
              <w:left w:val="single" w:color="auto" w:sz="4" w:space="0"/>
              <w:bottom w:val="single" w:color="auto" w:sz="4" w:space="0"/>
              <w:right w:val="single" w:color="auto" w:sz="4" w:space="0"/>
            </w:tcBorders>
            <w:shd w:val="clear" w:color="auto" w:fill="auto"/>
            <w:vAlign w:val="center"/>
          </w:tcPr>
          <w:p w14:paraId="10689A02">
            <w:pPr>
              <w:rPr>
                <w:rFonts w:hint="default" w:cs="宋体" w:asciiTheme="minorEastAsia" w:hAnsiTheme="minorEastAsia"/>
                <w:sz w:val="18"/>
                <w:szCs w:val="18"/>
                <w:lang w:val="en-US" w:eastAsia="zh-CN"/>
              </w:rPr>
            </w:pPr>
            <w:r>
              <w:rPr>
                <w:rFonts w:hint="eastAsia" w:cs="宋体" w:asciiTheme="minorEastAsia" w:hAnsiTheme="minorEastAsia"/>
                <w:sz w:val="18"/>
                <w:szCs w:val="18"/>
                <w:lang w:val="en-US" w:eastAsia="zh-CN"/>
              </w:rPr>
              <w:t>（一）二道经济开发区：将区域内污水管网及附属设施维护工作整体委托给二道市政建设有限公司负责，包括对污水管网日常巡视、排水管线清掏疏通、市政井清掏维护，以及道路、街路牌、护栏等附属设施维护等多个方面，通过专业化团队介入，全面提升管网运维管理水平，重点排查管网接口、井室等易渗漏部位，及时清理管网内淤积泥沙、杂物等，制定科学合理的抢修方案，杜绝污水外溢现象的发生。同时，联合相关部门强化对污水厂监管，</w:t>
            </w:r>
            <w:r>
              <w:rPr>
                <w:rFonts w:hint="default" w:cs="宋体" w:asciiTheme="minorEastAsia" w:hAnsiTheme="minorEastAsia"/>
                <w:sz w:val="18"/>
                <w:szCs w:val="18"/>
                <w:lang w:val="en-US" w:eastAsia="zh-CN"/>
              </w:rPr>
              <w:t>实施“超低排放”管控要求。</w:t>
            </w:r>
          </w:p>
          <w:p w14:paraId="04135FEE">
            <w:pPr>
              <w:rPr>
                <w:rFonts w:cs="宋体" w:asciiTheme="minorEastAsia" w:hAnsiTheme="minorEastAsia"/>
                <w:sz w:val="18"/>
                <w:szCs w:val="18"/>
              </w:rPr>
            </w:pPr>
            <w:r>
              <w:rPr>
                <w:rFonts w:hint="eastAsia" w:cs="宋体" w:asciiTheme="minorEastAsia" w:hAnsiTheme="minorEastAsia"/>
                <w:sz w:val="18"/>
                <w:szCs w:val="18"/>
                <w:lang w:val="en-US" w:eastAsia="zh-CN"/>
              </w:rPr>
              <w:t>（二）</w:t>
            </w:r>
            <w:r>
              <w:rPr>
                <w:rFonts w:hint="default" w:cs="宋体" w:asciiTheme="minorEastAsia" w:hAnsiTheme="minorEastAsia"/>
                <w:sz w:val="18"/>
                <w:szCs w:val="18"/>
                <w:lang w:val="en-US" w:eastAsia="zh-CN"/>
              </w:rPr>
              <w:t>区生态环境分局</w:t>
            </w:r>
            <w:r>
              <w:rPr>
                <w:rFonts w:hint="eastAsia" w:cs="宋体" w:asciiTheme="minorEastAsia" w:hAnsiTheme="minorEastAsia"/>
                <w:sz w:val="18"/>
                <w:szCs w:val="18"/>
                <w:lang w:val="en-US" w:eastAsia="zh-CN"/>
              </w:rPr>
              <w:t>：</w:t>
            </w:r>
            <w:r>
              <w:rPr>
                <w:rFonts w:hint="default" w:cs="宋体" w:asciiTheme="minorEastAsia" w:hAnsiTheme="minorEastAsia"/>
                <w:sz w:val="18"/>
                <w:szCs w:val="18"/>
                <w:lang w:val="en-US" w:eastAsia="zh-CN"/>
              </w:rPr>
              <w:t>针对辖区内英俊污水处理厂、东新开河污水处理厂 2 家污水处理企业，综合采取 “四不两直” 明察暗访、昼巡夜查、随查随测等监管手段，持续强化执法监督力度，督促企业严格保障污染防治设施稳定运行，进一步压实企业生态环境保护主体责任，确保污水全流程达标排放。目前，</w:t>
            </w:r>
            <w:r>
              <w:rPr>
                <w:rFonts w:hint="eastAsia" w:cs="宋体" w:asciiTheme="minorEastAsia" w:hAnsiTheme="minorEastAsia"/>
                <w:sz w:val="18"/>
                <w:szCs w:val="18"/>
                <w:lang w:val="en-US" w:eastAsia="zh-CN"/>
              </w:rPr>
              <w:t>辖区内英俊污水处理厂、东新开河污水处理厂污水处理设施正常运行，稳定达标排放。</w:t>
            </w:r>
          </w:p>
        </w:tc>
      </w:tr>
      <w:tr w14:paraId="6A6863CC">
        <w:trPr>
          <w:trHeight w:val="1078" w:hRule="atLeast"/>
        </w:trPr>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14:paraId="38AC0FF3">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2</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43F739F4">
            <w:pPr>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color w:val="000000"/>
                <w:sz w:val="18"/>
                <w:szCs w:val="18"/>
                <w:lang w:val="en-US" w:eastAsia="zh-CN"/>
              </w:rPr>
              <w:t>序号二十五</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14:paraId="60939D69">
            <w:pPr>
              <w:rPr>
                <w:rFonts w:hint="default" w:cs="宋体" w:asciiTheme="minorEastAsia" w:hAnsiTheme="minorEastAsia"/>
                <w:sz w:val="18"/>
                <w:szCs w:val="18"/>
              </w:rPr>
            </w:pPr>
            <w:r>
              <w:rPr>
                <w:rFonts w:hint="eastAsia" w:cs="宋体" w:asciiTheme="minorEastAsia" w:hAnsiTheme="minorEastAsia"/>
                <w:sz w:val="18"/>
                <w:szCs w:val="18"/>
              </w:rPr>
              <w:t>矿产资源开发、矿山治理问题较多。</w:t>
            </w:r>
            <w:r>
              <w:rPr>
                <w:rFonts w:hint="default" w:cs="宋体" w:asciiTheme="minorEastAsia" w:hAnsiTheme="minorEastAsia"/>
                <w:sz w:val="18"/>
                <w:szCs w:val="18"/>
              </w:rPr>
              <w:t>矿山地质环境保护和土地复垦进展缓慢。部分新建矿山没有按照《长春市矿产资源2016</w:t>
            </w:r>
            <w:r>
              <w:rPr>
                <w:rFonts w:hint="eastAsia" w:cs="宋体" w:asciiTheme="minorEastAsia" w:hAnsiTheme="minorEastAsia"/>
                <w:sz w:val="18"/>
                <w:szCs w:val="18"/>
                <w:lang w:eastAsia="zh-CN"/>
              </w:rPr>
              <w:t>—</w:t>
            </w:r>
            <w:r>
              <w:rPr>
                <w:rFonts w:hint="default" w:cs="宋体" w:asciiTheme="minorEastAsia" w:hAnsiTheme="minorEastAsia"/>
                <w:sz w:val="18"/>
                <w:szCs w:val="18"/>
              </w:rPr>
              <w:t>2020年总体规划》要求做到边开采、边保护、边复垦及土地复垦不欠新账。各县（市、区）历史遗留矿山数量较多，约为903余个图斑，1800多公顷，按矿产资源总体规划要求到2020年矿区土地复垦面积1000公顷。截止督察组进驻，全地区矿山土地复垦面积仅达到350公顷左右。</w:t>
            </w:r>
          </w:p>
          <w:p w14:paraId="690DC71B">
            <w:pPr>
              <w:rPr>
                <w:rFonts w:cs="宋体" w:asciiTheme="minorEastAsia" w:hAnsiTheme="minorEastAsia"/>
                <w:sz w:val="18"/>
                <w:szCs w:val="18"/>
              </w:rPr>
            </w:pPr>
            <w:r>
              <w:rPr>
                <w:rFonts w:hint="default" w:cs="宋体" w:asciiTheme="minorEastAsia" w:hAnsiTheme="minorEastAsia"/>
                <w:sz w:val="18"/>
                <w:szCs w:val="18"/>
              </w:rPr>
              <w:t>部分县（市、区）矿山开发、地质环境保护和土地复垦存在问题较多。一是部分县（市、区）矿山、砖厂没有按照复垦要求进行复垦，而是转型利用（农安县开安镇隆达砖厂）。二是未按复垦方案进行，存在复垦面积不足问题。公主岭市原朝阳坡镇砖厂复垦仅完成了1.92公顷左右，比实际损毁面积少4公顷左右,长春市中韩示范区米沙子镇沃皮机砖厂复垦仅完成4.6公顷左右，比实际少7公顷左右。三是一些矿山开发、复垦过程监管不到位。九台区久兴矿业有限公司违反环评规定违规堆放物料，造成扬尘污染，堆存碎石违规占用林地。双阳区矿山开发违规占用林地问题未彻底解决，修复任务滞后。德惠市兰家砖厂、公主岭市原朝阳坡镇砖厂复垦所用客土不符合要求。</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7561AF4">
            <w:pPr>
              <w:rPr>
                <w:rFonts w:hint="default" w:cs="宋体" w:asciiTheme="minorEastAsia" w:hAnsiTheme="minorEastAsia"/>
                <w:sz w:val="18"/>
                <w:szCs w:val="18"/>
              </w:rPr>
            </w:pPr>
            <w:r>
              <w:rPr>
                <w:rFonts w:hint="default" w:cs="宋体" w:asciiTheme="minorEastAsia" w:hAnsiTheme="minorEastAsia"/>
                <w:sz w:val="18"/>
                <w:szCs w:val="18"/>
              </w:rPr>
              <w:t>完成长春市“十四五”历史遗留矿山生态修复目标任务，2024年年底前完成本年度1.63公顷矿山修复任务，2025年年底前完成全部矿山修复任务。</w:t>
            </w:r>
          </w:p>
          <w:p w14:paraId="2D1DAB90">
            <w:pPr>
              <w:rPr>
                <w:rFonts w:cs="宋体" w:asciiTheme="minorEastAsia" w:hAnsiTheme="minorEastAsia"/>
                <w:sz w:val="18"/>
                <w:szCs w:val="18"/>
              </w:rPr>
            </w:pP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14:paraId="4BFAFB48">
            <w:pPr>
              <w:rPr>
                <w:rFonts w:hint="default" w:cs="宋体" w:asciiTheme="minorEastAsia" w:hAnsiTheme="minorEastAsia"/>
                <w:sz w:val="18"/>
                <w:szCs w:val="18"/>
              </w:rPr>
            </w:pPr>
            <w:r>
              <w:rPr>
                <w:rFonts w:hint="default" w:cs="宋体" w:asciiTheme="minorEastAsia" w:hAnsiTheme="minorEastAsia"/>
                <w:sz w:val="18"/>
                <w:szCs w:val="18"/>
              </w:rPr>
              <w:t>（一）按照《吉林省“十四五”历史遗留矿山生态修复工作方案》和市政府统一部署，区规划和自然资源分局协助区政府完成生态修复规划编制工作，督促英俊镇按时推进矿山治理任务。</w:t>
            </w:r>
          </w:p>
          <w:p w14:paraId="2E161324">
            <w:pPr>
              <w:rPr>
                <w:rFonts w:cs="宋体" w:asciiTheme="minorEastAsia" w:hAnsiTheme="minorEastAsia"/>
                <w:sz w:val="18"/>
                <w:szCs w:val="18"/>
              </w:rPr>
            </w:pPr>
            <w:r>
              <w:rPr>
                <w:rFonts w:hint="default" w:cs="宋体" w:asciiTheme="minorEastAsia" w:hAnsiTheme="minorEastAsia"/>
                <w:sz w:val="18"/>
                <w:szCs w:val="18"/>
              </w:rPr>
              <w:t>（二）英俊镇通过城中村改造项目、二道区矿区综合修复治理及生态产业开发（EOD模式）项目积极开展矿山修复治理工作，确保2024年12月底前完成1.63公顷矿山修复任务，2025年12月底前完成全部矿山修复任务。</w:t>
            </w:r>
          </w:p>
        </w:tc>
        <w:tc>
          <w:tcPr>
            <w:tcW w:w="6016" w:type="dxa"/>
            <w:tcBorders>
              <w:top w:val="single" w:color="auto" w:sz="4" w:space="0"/>
              <w:left w:val="single" w:color="auto" w:sz="4" w:space="0"/>
              <w:bottom w:val="single" w:color="auto" w:sz="4" w:space="0"/>
              <w:right w:val="single" w:color="auto" w:sz="4" w:space="0"/>
            </w:tcBorders>
            <w:shd w:val="clear" w:color="auto" w:fill="auto"/>
            <w:vAlign w:val="center"/>
          </w:tcPr>
          <w:p w14:paraId="692CBB4C">
            <w:pPr>
              <w:rPr>
                <w:rFonts w:hint="eastAsia" w:cs="宋体" w:asciiTheme="minorEastAsia" w:hAnsiTheme="minorEastAsia"/>
                <w:sz w:val="18"/>
                <w:szCs w:val="18"/>
                <w:lang w:val="en-US" w:eastAsia="zh-CN"/>
              </w:rPr>
            </w:pPr>
            <w:r>
              <w:rPr>
                <w:rFonts w:hint="eastAsia" w:cs="宋体" w:asciiTheme="minorEastAsia" w:hAnsiTheme="minorEastAsia"/>
                <w:sz w:val="18"/>
                <w:szCs w:val="18"/>
                <w:lang w:val="en-US" w:eastAsia="zh-CN"/>
              </w:rPr>
              <w:t>（一）长春市编制了《长春市国土空间生态修复规划（2021-2035）》，我区依据此规划开展工作，组织编制了双河采石场及二井采石场的修复方案，市</w:t>
            </w:r>
            <w:r>
              <w:rPr>
                <w:rFonts w:hint="default" w:cs="宋体" w:asciiTheme="minorEastAsia" w:hAnsiTheme="minorEastAsia"/>
                <w:sz w:val="18"/>
                <w:szCs w:val="18"/>
              </w:rPr>
              <w:t>规划和自然资源</w:t>
            </w:r>
            <w:r>
              <w:rPr>
                <w:rFonts w:hint="eastAsia" w:cs="宋体" w:asciiTheme="minorEastAsia" w:hAnsiTheme="minorEastAsia"/>
                <w:sz w:val="18"/>
                <w:szCs w:val="18"/>
                <w:lang w:val="en-US" w:eastAsia="zh-CN"/>
              </w:rPr>
              <w:t>局组织专家评审通过，区</w:t>
            </w:r>
            <w:r>
              <w:rPr>
                <w:rFonts w:hint="default" w:cs="宋体" w:asciiTheme="minorEastAsia" w:hAnsiTheme="minorEastAsia"/>
                <w:sz w:val="18"/>
                <w:szCs w:val="18"/>
              </w:rPr>
              <w:t>规划和自然资源分局</w:t>
            </w:r>
            <w:r>
              <w:rPr>
                <w:rFonts w:hint="eastAsia" w:cs="宋体" w:asciiTheme="minorEastAsia" w:hAnsiTheme="minorEastAsia"/>
                <w:sz w:val="18"/>
                <w:szCs w:val="18"/>
                <w:lang w:val="en-US" w:eastAsia="zh-CN"/>
              </w:rPr>
              <w:t>、英俊镇密切配合，全力推进矿山修复治理。</w:t>
            </w:r>
          </w:p>
          <w:p w14:paraId="26B51066">
            <w:pPr>
              <w:rPr>
                <w:rFonts w:hint="eastAsia" w:cs="宋体" w:asciiTheme="minorEastAsia" w:hAnsiTheme="minorEastAsia"/>
                <w:sz w:val="18"/>
                <w:szCs w:val="18"/>
                <w:lang w:val="en-US" w:eastAsia="zh-CN"/>
              </w:rPr>
            </w:pPr>
            <w:r>
              <w:rPr>
                <w:rFonts w:hint="eastAsia" w:cs="宋体" w:asciiTheme="minorEastAsia" w:hAnsiTheme="minorEastAsia"/>
                <w:sz w:val="18"/>
                <w:szCs w:val="18"/>
                <w:lang w:val="en-US" w:eastAsia="zh-CN"/>
              </w:rPr>
              <w:t>（二）依</w:t>
            </w:r>
            <w:bookmarkStart w:id="0" w:name="_GoBack"/>
            <w:bookmarkEnd w:id="0"/>
            <w:r>
              <w:rPr>
                <w:rFonts w:hint="eastAsia" w:cs="宋体" w:asciiTheme="minorEastAsia" w:hAnsiTheme="minorEastAsia"/>
                <w:sz w:val="18"/>
                <w:szCs w:val="18"/>
                <w:lang w:val="en-US" w:eastAsia="zh-CN"/>
              </w:rPr>
              <w:t>据《长春市人民政府办公厅关于印发长春市“十四五”历史遗留矿山生态修复工作方案的通知》（长府办函[2023]23号）要求，我区应于“十四五”期间完成预期治理面积3.54公顷，截止目前，已完成双河采石场1.63公顷、二井采石场2.43公顷矿山修复，总计完成治理面积4.06公顷，已如期完成矿山修复治理面积目标。</w:t>
            </w:r>
          </w:p>
          <w:p w14:paraId="1FC03776">
            <w:pPr>
              <w:rPr>
                <w:rFonts w:cs="宋体" w:asciiTheme="minorEastAsia" w:hAnsiTheme="minorEastAsia"/>
                <w:sz w:val="18"/>
                <w:szCs w:val="18"/>
              </w:rPr>
            </w:pPr>
          </w:p>
        </w:tc>
      </w:tr>
    </w:tbl>
    <w:p w14:paraId="1BEDD87A">
      <w:pPr>
        <w:spacing w:line="600" w:lineRule="exact"/>
        <w:jc w:val="left"/>
        <w:rPr>
          <w:rFonts w:ascii="仿宋" w:hAnsi="仿宋" w:eastAsia="仿宋" w:cs="仿宋"/>
          <w:sz w:val="32"/>
          <w:szCs w:val="32"/>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1251"/>
      <w:docPartObj>
        <w:docPartGallery w:val="autotext"/>
      </w:docPartObj>
    </w:sdtPr>
    <w:sdtContent>
      <w:p w14:paraId="25FF32C7">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14DE1C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E6"/>
    <w:rsid w:val="00031074"/>
    <w:rsid w:val="0004153F"/>
    <w:rsid w:val="000832F8"/>
    <w:rsid w:val="00100DA7"/>
    <w:rsid w:val="00193455"/>
    <w:rsid w:val="001A6C9A"/>
    <w:rsid w:val="001E590B"/>
    <w:rsid w:val="002907CF"/>
    <w:rsid w:val="002A6175"/>
    <w:rsid w:val="002B24BC"/>
    <w:rsid w:val="002B7F4E"/>
    <w:rsid w:val="00321432"/>
    <w:rsid w:val="00330275"/>
    <w:rsid w:val="003A3CB3"/>
    <w:rsid w:val="003F049B"/>
    <w:rsid w:val="004003F9"/>
    <w:rsid w:val="00436F04"/>
    <w:rsid w:val="00473B7F"/>
    <w:rsid w:val="0047728B"/>
    <w:rsid w:val="004D393B"/>
    <w:rsid w:val="004F33E5"/>
    <w:rsid w:val="00501AB4"/>
    <w:rsid w:val="0052402B"/>
    <w:rsid w:val="005928EE"/>
    <w:rsid w:val="005A39BC"/>
    <w:rsid w:val="005D4B52"/>
    <w:rsid w:val="005D7508"/>
    <w:rsid w:val="00630A38"/>
    <w:rsid w:val="00653114"/>
    <w:rsid w:val="0065618D"/>
    <w:rsid w:val="00687E29"/>
    <w:rsid w:val="006A1109"/>
    <w:rsid w:val="006A2C54"/>
    <w:rsid w:val="007E07BE"/>
    <w:rsid w:val="008231F5"/>
    <w:rsid w:val="00825D3D"/>
    <w:rsid w:val="008549B3"/>
    <w:rsid w:val="00873E37"/>
    <w:rsid w:val="00886F0F"/>
    <w:rsid w:val="008D478C"/>
    <w:rsid w:val="009A1FA7"/>
    <w:rsid w:val="009E7E66"/>
    <w:rsid w:val="00A90809"/>
    <w:rsid w:val="00A91CDA"/>
    <w:rsid w:val="00AD0C61"/>
    <w:rsid w:val="00B54A0B"/>
    <w:rsid w:val="00B82A1E"/>
    <w:rsid w:val="00BE73E8"/>
    <w:rsid w:val="00C05D8D"/>
    <w:rsid w:val="00C31260"/>
    <w:rsid w:val="00C85127"/>
    <w:rsid w:val="00C90684"/>
    <w:rsid w:val="00CC7020"/>
    <w:rsid w:val="00CD56D2"/>
    <w:rsid w:val="00CE0776"/>
    <w:rsid w:val="00CE16E6"/>
    <w:rsid w:val="00DD10BC"/>
    <w:rsid w:val="00DE28C3"/>
    <w:rsid w:val="00E00545"/>
    <w:rsid w:val="00E317A1"/>
    <w:rsid w:val="00E60345"/>
    <w:rsid w:val="00E93C9F"/>
    <w:rsid w:val="00EB32A7"/>
    <w:rsid w:val="00EC4850"/>
    <w:rsid w:val="00EC5F60"/>
    <w:rsid w:val="00FE2738"/>
    <w:rsid w:val="02F4526B"/>
    <w:rsid w:val="04854C7E"/>
    <w:rsid w:val="04F847FD"/>
    <w:rsid w:val="0A542277"/>
    <w:rsid w:val="0AA60AF8"/>
    <w:rsid w:val="0AB9157B"/>
    <w:rsid w:val="0ACA1F7D"/>
    <w:rsid w:val="0BCF2370"/>
    <w:rsid w:val="0C7D0FD2"/>
    <w:rsid w:val="0D194D6B"/>
    <w:rsid w:val="0D196B6F"/>
    <w:rsid w:val="0D256108"/>
    <w:rsid w:val="0DD5099B"/>
    <w:rsid w:val="0F051AA8"/>
    <w:rsid w:val="0F321048"/>
    <w:rsid w:val="10AB04D2"/>
    <w:rsid w:val="110B048C"/>
    <w:rsid w:val="111C2B25"/>
    <w:rsid w:val="127D3822"/>
    <w:rsid w:val="127E341B"/>
    <w:rsid w:val="13B94639"/>
    <w:rsid w:val="14265C15"/>
    <w:rsid w:val="142D3B91"/>
    <w:rsid w:val="14ED6E95"/>
    <w:rsid w:val="17B01192"/>
    <w:rsid w:val="17F05C11"/>
    <w:rsid w:val="185F64D1"/>
    <w:rsid w:val="19316636"/>
    <w:rsid w:val="19FD495D"/>
    <w:rsid w:val="1A376B17"/>
    <w:rsid w:val="1B703004"/>
    <w:rsid w:val="1C256BBD"/>
    <w:rsid w:val="20763435"/>
    <w:rsid w:val="227522A7"/>
    <w:rsid w:val="22837215"/>
    <w:rsid w:val="22A74D46"/>
    <w:rsid w:val="236C5EFC"/>
    <w:rsid w:val="24003DA7"/>
    <w:rsid w:val="240F2D4C"/>
    <w:rsid w:val="24654C7E"/>
    <w:rsid w:val="256A102B"/>
    <w:rsid w:val="262B769E"/>
    <w:rsid w:val="2A68299F"/>
    <w:rsid w:val="2CE7358F"/>
    <w:rsid w:val="2D0A008A"/>
    <w:rsid w:val="2D4B7004"/>
    <w:rsid w:val="2D9013B2"/>
    <w:rsid w:val="2DF85FE5"/>
    <w:rsid w:val="2F29233F"/>
    <w:rsid w:val="2FC3359F"/>
    <w:rsid w:val="2FED1CB3"/>
    <w:rsid w:val="32B5467A"/>
    <w:rsid w:val="33DA5FC9"/>
    <w:rsid w:val="35916524"/>
    <w:rsid w:val="36CB5EE7"/>
    <w:rsid w:val="37062C8A"/>
    <w:rsid w:val="37771003"/>
    <w:rsid w:val="38461797"/>
    <w:rsid w:val="38863435"/>
    <w:rsid w:val="395B0DD3"/>
    <w:rsid w:val="3B04385F"/>
    <w:rsid w:val="3BE93FD6"/>
    <w:rsid w:val="3C8F5728"/>
    <w:rsid w:val="3CFE594C"/>
    <w:rsid w:val="3D026FBA"/>
    <w:rsid w:val="3D8F1FDF"/>
    <w:rsid w:val="3D903668"/>
    <w:rsid w:val="3E17639A"/>
    <w:rsid w:val="3F80568E"/>
    <w:rsid w:val="410748D5"/>
    <w:rsid w:val="41A41225"/>
    <w:rsid w:val="45370639"/>
    <w:rsid w:val="454035B1"/>
    <w:rsid w:val="46C40A3C"/>
    <w:rsid w:val="471E6E20"/>
    <w:rsid w:val="48FC6B89"/>
    <w:rsid w:val="49007FD6"/>
    <w:rsid w:val="4A956720"/>
    <w:rsid w:val="4B3C3D58"/>
    <w:rsid w:val="4B9E08AF"/>
    <w:rsid w:val="4BD77FF4"/>
    <w:rsid w:val="4D4D05FA"/>
    <w:rsid w:val="4D534466"/>
    <w:rsid w:val="4D9F7304"/>
    <w:rsid w:val="4E103CE0"/>
    <w:rsid w:val="4EB20A8A"/>
    <w:rsid w:val="4F8E7CE8"/>
    <w:rsid w:val="50E317BD"/>
    <w:rsid w:val="514F588E"/>
    <w:rsid w:val="51A035A5"/>
    <w:rsid w:val="53395D21"/>
    <w:rsid w:val="55F1299C"/>
    <w:rsid w:val="565B04BA"/>
    <w:rsid w:val="575734A8"/>
    <w:rsid w:val="57D418D2"/>
    <w:rsid w:val="59F07D4E"/>
    <w:rsid w:val="5AAD12B7"/>
    <w:rsid w:val="5B4C4D18"/>
    <w:rsid w:val="5CC41A15"/>
    <w:rsid w:val="5E8035E8"/>
    <w:rsid w:val="61D33D25"/>
    <w:rsid w:val="62DE64CE"/>
    <w:rsid w:val="636E3520"/>
    <w:rsid w:val="64B4172A"/>
    <w:rsid w:val="66714B5F"/>
    <w:rsid w:val="670C0765"/>
    <w:rsid w:val="674440C8"/>
    <w:rsid w:val="67E24ABA"/>
    <w:rsid w:val="67FE697F"/>
    <w:rsid w:val="69BA7C62"/>
    <w:rsid w:val="6A6B6180"/>
    <w:rsid w:val="6B441328"/>
    <w:rsid w:val="6BA25F83"/>
    <w:rsid w:val="6D6777E6"/>
    <w:rsid w:val="6DC62E19"/>
    <w:rsid w:val="72662645"/>
    <w:rsid w:val="73195BE1"/>
    <w:rsid w:val="73641455"/>
    <w:rsid w:val="73CE581F"/>
    <w:rsid w:val="742B0EA5"/>
    <w:rsid w:val="744D5719"/>
    <w:rsid w:val="74992D47"/>
    <w:rsid w:val="756300CB"/>
    <w:rsid w:val="75AC76DE"/>
    <w:rsid w:val="77257F61"/>
    <w:rsid w:val="785661A1"/>
    <w:rsid w:val="79A03741"/>
    <w:rsid w:val="7A0F64CC"/>
    <w:rsid w:val="7AA23BB7"/>
    <w:rsid w:val="7B444715"/>
    <w:rsid w:val="7B6A6FFE"/>
    <w:rsid w:val="7BBE728F"/>
    <w:rsid w:val="7BF1722C"/>
    <w:rsid w:val="7C303641"/>
    <w:rsid w:val="7C6A3727"/>
    <w:rsid w:val="7CDC0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240" w:lineRule="auto"/>
      <w:ind w:firstLine="0" w:firstLineChars="0"/>
    </w:pPr>
    <w:rPr>
      <w:rFonts w:ascii="Calibri" w:hAnsi="Calibri" w:eastAsia="宋体" w:cs="Times New Roman"/>
      <w:sz w:val="21"/>
    </w:rPr>
  </w:style>
  <w:style w:type="paragraph" w:styleId="4">
    <w:name w:val="Normal Indent"/>
    <w:basedOn w:val="1"/>
    <w:qFormat/>
    <w:uiPriority w:val="0"/>
    <w:pPr>
      <w:ind w:firstLine="420"/>
    </w:pPr>
  </w:style>
  <w:style w:type="paragraph" w:styleId="5">
    <w:name w:val="Body Text Indent"/>
    <w:basedOn w:val="1"/>
    <w:next w:val="4"/>
    <w:unhideWhenUsed/>
    <w:qFormat/>
    <w:uiPriority w:val="99"/>
    <w:pPr>
      <w:spacing w:after="120"/>
      <w:ind w:left="420" w:leftChars="200"/>
    </w:pPr>
  </w:style>
  <w:style w:type="paragraph" w:styleId="6">
    <w:name w:val="Body Text Indent 2"/>
    <w:basedOn w:val="1"/>
    <w:qFormat/>
    <w:uiPriority w:val="0"/>
    <w:pPr>
      <w:ind w:firstLine="482"/>
    </w:pPr>
    <w:rPr>
      <w:rFonts w:ascii="宋体" w:eastAsia="Times New Roman"/>
      <w:bCs/>
      <w:color w:val="000000"/>
      <w:kern w:val="0"/>
      <w:sz w:val="24"/>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paragraph" w:styleId="10">
    <w:name w:val="Body Text First Indent 2"/>
    <w:basedOn w:val="5"/>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qFormat/>
    <w:uiPriority w:val="0"/>
    <w:rPr>
      <w:color w:val="4D4D4D"/>
      <w:u w:val="none"/>
    </w:rPr>
  </w:style>
  <w:style w:type="character" w:styleId="15">
    <w:name w:val="Hyperlink"/>
    <w:basedOn w:val="13"/>
    <w:qFormat/>
    <w:uiPriority w:val="0"/>
    <w:rPr>
      <w:color w:val="4D4D4D"/>
      <w:u w:val="none"/>
    </w:rPr>
  </w:style>
  <w:style w:type="character" w:customStyle="1" w:styleId="16">
    <w:name w:val="页眉 Char"/>
    <w:basedOn w:val="13"/>
    <w:link w:val="8"/>
    <w:qFormat/>
    <w:uiPriority w:val="0"/>
    <w:rPr>
      <w:kern w:val="2"/>
      <w:sz w:val="18"/>
      <w:szCs w:val="18"/>
    </w:rPr>
  </w:style>
  <w:style w:type="character" w:customStyle="1" w:styleId="17">
    <w:name w:val="页脚 Char"/>
    <w:basedOn w:val="13"/>
    <w:link w:val="7"/>
    <w:qFormat/>
    <w:uiPriority w:val="99"/>
    <w:rPr>
      <w:kern w:val="2"/>
      <w:sz w:val="18"/>
      <w:szCs w:val="18"/>
    </w:rPr>
  </w:style>
  <w:style w:type="table" w:customStyle="1" w:styleId="18">
    <w:name w:val="网格型1"/>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2029</Words>
  <Characters>2195</Characters>
  <Lines>6</Lines>
  <Paragraphs>31</Paragraphs>
  <TotalTime>8</TotalTime>
  <ScaleCrop>false</ScaleCrop>
  <LinksUpToDate>false</LinksUpToDate>
  <CharactersWithSpaces>2199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圈</cp:lastModifiedBy>
  <cp:lastPrinted>2026-01-15T08:36:00Z</cp:lastPrinted>
  <dcterms:modified xsi:type="dcterms:W3CDTF">2026-04-09T03:16:39Z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C4E76BEDD412459190AADB767BBAEC39_13</vt:lpwstr>
  </property>
  <property fmtid="{D5CDD505-2E9C-101B-9397-08002B2CF9AE}" pid="4" name="KSOTemplateDocerSaveRecord">
    <vt:lpwstr>eyJoZGlkIjoiNTg5Y2M2ZjU4NzhiN2E4OGJkMWRhM2UxNWMwNTU4MGUiLCJ1c2VySWQiOiIxMjk4NTk3MzEifQ==</vt:lpwstr>
  </property>
</Properties>
</file>